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57E91">
      <w:r>
        <w:t xml:space="preserve">   </w:t>
      </w:r>
    </w:p>
    <w:p w14:paraId="6E8CAE8C">
      <w:r>
        <w:rPr>
          <w:lang w:eastAsia="el-GR" w:bidi="ar-SA"/>
        </w:rPr>
        <w:drawing>
          <wp:inline distT="0" distB="0" distL="0" distR="0">
            <wp:extent cx="584835" cy="573405"/>
            <wp:effectExtent l="0" t="0" r="0" b="0"/>
            <wp:docPr id="1"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pic:cNvPicPr>
                      <a:picLocks noChangeAspect="1" noChangeArrowheads="1"/>
                    </pic:cNvPicPr>
                  </pic:nvPicPr>
                  <pic:blipFill>
                    <a:blip r:embed="rId5" cstate="print"/>
                    <a:srcRect l="-58" t="-59" r="-58" b="-59"/>
                    <a:stretch>
                      <a:fillRect/>
                    </a:stretch>
                  </pic:blipFill>
                  <pic:spPr>
                    <a:xfrm>
                      <a:off x="0" y="0"/>
                      <a:ext cx="584835" cy="573405"/>
                    </a:xfrm>
                    <a:prstGeom prst="rect">
                      <a:avLst/>
                    </a:prstGeom>
                  </pic:spPr>
                </pic:pic>
              </a:graphicData>
            </a:graphic>
          </wp:inline>
        </w:drawing>
      </w:r>
    </w:p>
    <w:p w14:paraId="2145BFE1">
      <w:pPr>
        <w:jc w:val="both"/>
        <w:rPr>
          <w:rFonts w:ascii="Verdana" w:hAnsi="Verdana"/>
          <w:b/>
          <w:bCs/>
          <w:sz w:val="20"/>
          <w:szCs w:val="20"/>
        </w:rPr>
      </w:pPr>
      <w:r>
        <w:rPr>
          <w:rFonts w:ascii="Verdana" w:hAnsi="Verdana"/>
          <w:b/>
          <w:bCs/>
          <w:sz w:val="20"/>
          <w:szCs w:val="20"/>
        </w:rPr>
        <w:t xml:space="preserve">ΕΛΛΗΝΙΚΗ ΔΗΜΟΚΡΑΤΙΑ                                                            </w:t>
      </w:r>
    </w:p>
    <w:p w14:paraId="1B7A5A77">
      <w:pPr>
        <w:jc w:val="both"/>
        <w:rPr>
          <w:rFonts w:ascii="Verdana" w:hAnsi="Verdana"/>
          <w:b/>
          <w:bCs/>
          <w:sz w:val="20"/>
          <w:szCs w:val="20"/>
        </w:rPr>
      </w:pPr>
      <w:r>
        <w:rPr>
          <w:rFonts w:ascii="Verdana" w:hAnsi="Verdana"/>
          <w:b/>
          <w:bCs/>
          <w:sz w:val="20"/>
          <w:szCs w:val="20"/>
        </w:rPr>
        <w:t xml:space="preserve">ΝΟΜΟΣ ΒΟΙΩΤΙΑΣ                                                                                                          </w:t>
      </w:r>
    </w:p>
    <w:p w14:paraId="59DE634C">
      <w:pPr>
        <w:jc w:val="both"/>
        <w:rPr>
          <w:rFonts w:ascii="Verdana" w:hAnsi="Verdana"/>
          <w:b/>
          <w:bCs/>
          <w:sz w:val="20"/>
          <w:szCs w:val="20"/>
        </w:rPr>
      </w:pPr>
      <w:r>
        <w:rPr>
          <w:rFonts w:ascii="Verdana" w:hAnsi="Verdana"/>
          <w:b/>
          <w:bCs/>
          <w:sz w:val="20"/>
          <w:szCs w:val="20"/>
        </w:rPr>
        <w:t xml:space="preserve">ΔΗΜΟΣ ΛΕΒΑΔΕΩΝ                                                                         </w:t>
      </w:r>
    </w:p>
    <w:p w14:paraId="7E16308A">
      <w:pPr>
        <w:jc w:val="both"/>
        <w:rPr>
          <w:rFonts w:ascii="Verdana" w:hAnsi="Verdana"/>
          <w:b/>
          <w:bCs/>
          <w:sz w:val="20"/>
          <w:szCs w:val="20"/>
        </w:rPr>
      </w:pPr>
      <w:r>
        <w:rPr>
          <w:rFonts w:ascii="Verdana" w:hAnsi="Verdana"/>
          <w:b/>
          <w:bCs/>
          <w:sz w:val="20"/>
          <w:szCs w:val="20"/>
        </w:rPr>
        <w:t xml:space="preserve">Δ/ΝΣΗ ΟΙΚΟΝΟΜΙΚΩΝ ΥΠΗΡΕΣΙΩΝ                                     </w:t>
      </w:r>
    </w:p>
    <w:p w14:paraId="5165E2D2">
      <w:pPr>
        <w:jc w:val="both"/>
        <w:rPr>
          <w:rFonts w:ascii="Verdana" w:hAnsi="Verdana"/>
          <w:b/>
          <w:bCs/>
          <w:sz w:val="20"/>
          <w:szCs w:val="20"/>
        </w:rPr>
      </w:pPr>
      <w:r>
        <w:rPr>
          <w:rFonts w:ascii="Verdana" w:hAnsi="Verdana"/>
          <w:b/>
          <w:bCs/>
          <w:sz w:val="20"/>
          <w:szCs w:val="20"/>
        </w:rPr>
        <w:t xml:space="preserve">ΤΜΗΜΑ ΕΣΟΔΩΝ &amp; ΠΕΡΙΟΥΣΙΑΣ </w:t>
      </w:r>
    </w:p>
    <w:p w14:paraId="36F2FD36">
      <w:pPr>
        <w:jc w:val="both"/>
        <w:rPr>
          <w:rFonts w:ascii="Verdana" w:hAnsi="Verdana"/>
          <w:b/>
          <w:bCs/>
          <w:sz w:val="20"/>
          <w:szCs w:val="20"/>
        </w:rPr>
      </w:pPr>
      <w:r>
        <w:rPr>
          <w:rFonts w:ascii="Verdana" w:hAnsi="Verdana"/>
          <w:b/>
          <w:bCs/>
          <w:sz w:val="20"/>
          <w:szCs w:val="20"/>
        </w:rPr>
        <w:t xml:space="preserve">Δ/ΝΣΗ : ΠΛ. Λ. ΚΑΤΣΩΝΗ                                               </w:t>
      </w:r>
    </w:p>
    <w:p w14:paraId="748382DE">
      <w:pPr>
        <w:jc w:val="both"/>
        <w:rPr>
          <w:rFonts w:ascii="Verdana" w:hAnsi="Verdana"/>
          <w:b/>
          <w:bCs/>
          <w:sz w:val="20"/>
          <w:szCs w:val="20"/>
        </w:rPr>
      </w:pPr>
      <w:r>
        <w:rPr>
          <w:rFonts w:ascii="Verdana" w:hAnsi="Verdana"/>
          <w:b/>
          <w:bCs/>
          <w:sz w:val="20"/>
          <w:szCs w:val="20"/>
        </w:rPr>
        <w:t xml:space="preserve">Ταχ. Κωδ. 32131-ΛΙΒΑΔΕΙΑ       </w:t>
      </w:r>
    </w:p>
    <w:p w14:paraId="768840E4">
      <w:pPr>
        <w:jc w:val="both"/>
        <w:rPr>
          <w:rFonts w:ascii="Verdana" w:hAnsi="Verdana"/>
          <w:b/>
          <w:bCs/>
          <w:sz w:val="20"/>
          <w:szCs w:val="20"/>
        </w:rPr>
      </w:pPr>
    </w:p>
    <w:p w14:paraId="600EA069">
      <w:pPr>
        <w:jc w:val="both"/>
        <w:rPr>
          <w:rFonts w:ascii="Verdana" w:hAnsi="Verdana"/>
          <w:b/>
          <w:bCs/>
          <w:sz w:val="20"/>
          <w:szCs w:val="20"/>
        </w:rPr>
      </w:pPr>
      <w:r>
        <w:rPr>
          <w:rFonts w:ascii="Verdana" w:hAnsi="Verdana"/>
          <w:b/>
          <w:bCs/>
          <w:sz w:val="20"/>
          <w:szCs w:val="20"/>
        </w:rPr>
        <w:t xml:space="preserve">                           </w:t>
      </w:r>
    </w:p>
    <w:p w14:paraId="3E8465F1">
      <w:pPr>
        <w:jc w:val="center"/>
        <w:rPr>
          <w:rFonts w:ascii="Verdana" w:hAnsi="Verdana"/>
          <w:b/>
          <w:bCs/>
          <w:sz w:val="20"/>
          <w:szCs w:val="20"/>
        </w:rPr>
      </w:pPr>
      <w:r>
        <w:rPr>
          <w:rFonts w:ascii="Verdana" w:hAnsi="Verdana"/>
          <w:b/>
          <w:bCs/>
          <w:sz w:val="20"/>
          <w:szCs w:val="20"/>
        </w:rPr>
        <w:t>ΔΙΑΚΗΡΥΞΗ  ΔΗΜΟΠΡΑΣΙΑΣ ΓΙΑ ΤΗΝ ΕΚΜΙΣΘΩΣΗ</w:t>
      </w:r>
    </w:p>
    <w:p w14:paraId="52DAD4B6">
      <w:pPr>
        <w:rPr>
          <w:rFonts w:ascii="Verdana" w:hAnsi="Verdana"/>
          <w:b/>
          <w:bCs/>
          <w:sz w:val="20"/>
          <w:szCs w:val="20"/>
        </w:rPr>
      </w:pPr>
      <w:r>
        <w:rPr>
          <w:rFonts w:ascii="Verdana" w:hAnsi="Verdana"/>
          <w:b/>
          <w:bCs/>
          <w:sz w:val="20"/>
          <w:szCs w:val="20"/>
        </w:rPr>
        <w:t xml:space="preserve">                                     ΜΙΑΣ ΘΕΣΗΣ  ΚΕΝΩΘΕΝΤΟΣ ΠΕΡΙΠΤΕΡΟΥ </w:t>
      </w:r>
    </w:p>
    <w:p w14:paraId="4920B7E9">
      <w:pPr>
        <w:rPr>
          <w:rFonts w:ascii="Verdana" w:hAnsi="Verdana"/>
          <w:b/>
          <w:bCs/>
          <w:sz w:val="20"/>
          <w:szCs w:val="20"/>
        </w:rPr>
      </w:pPr>
      <w:r>
        <w:rPr>
          <w:rFonts w:ascii="Verdana" w:hAnsi="Verdana"/>
          <w:b/>
          <w:bCs/>
          <w:sz w:val="20"/>
          <w:szCs w:val="20"/>
        </w:rPr>
        <w:t xml:space="preserve">                  ΕΠΙ ΤΗΣ </w:t>
      </w:r>
      <w:r>
        <w:rPr>
          <w:rFonts w:ascii="Verdana" w:hAnsi="Verdana"/>
          <w:b/>
          <w:bCs/>
          <w:sz w:val="20"/>
          <w:szCs w:val="20"/>
          <w:lang w:val="el-GR"/>
        </w:rPr>
        <w:t>ΟΔΟΥ</w:t>
      </w:r>
      <w:r>
        <w:rPr>
          <w:rFonts w:hint="default" w:ascii="Verdana" w:hAnsi="Verdana"/>
          <w:b/>
          <w:bCs/>
          <w:sz w:val="20"/>
          <w:szCs w:val="20"/>
          <w:lang w:val="el-GR"/>
        </w:rPr>
        <w:t xml:space="preserve"> ΚΑΡΑΓΙΑΝΝΟΠΟΥΛΟΥ 94</w:t>
      </w:r>
      <w:r>
        <w:rPr>
          <w:rFonts w:ascii="Verdana" w:hAnsi="Verdana"/>
          <w:b/>
          <w:bCs/>
          <w:sz w:val="20"/>
          <w:szCs w:val="20"/>
        </w:rPr>
        <w:t>, ΚΟΙΝΟΤΗΤΑΣ ΛΙΒΑΔΕΙΑΣ</w:t>
      </w:r>
    </w:p>
    <w:p w14:paraId="166DF78E">
      <w:pPr>
        <w:jc w:val="center"/>
        <w:rPr>
          <w:rFonts w:ascii="Verdana" w:hAnsi="Verdana"/>
          <w:b/>
          <w:bCs/>
          <w:sz w:val="20"/>
          <w:szCs w:val="20"/>
        </w:rPr>
      </w:pPr>
    </w:p>
    <w:p w14:paraId="0095D4C9">
      <w:pPr>
        <w:jc w:val="center"/>
        <w:rPr>
          <w:rFonts w:ascii="Verdana" w:hAnsi="Verdana"/>
          <w:b/>
          <w:bCs/>
          <w:sz w:val="20"/>
          <w:szCs w:val="20"/>
        </w:rPr>
      </w:pPr>
      <w:r>
        <w:rPr>
          <w:rFonts w:ascii="Verdana" w:hAnsi="Verdana"/>
          <w:b/>
          <w:bCs/>
          <w:sz w:val="20"/>
          <w:szCs w:val="20"/>
        </w:rPr>
        <w:t>Ο ΔΗΜΑΡΧΟΣ ΛΕΒΑΔΕΩΝ</w:t>
      </w:r>
    </w:p>
    <w:p w14:paraId="4C161BDA">
      <w:pPr>
        <w:jc w:val="center"/>
        <w:rPr>
          <w:rFonts w:ascii="Verdana" w:hAnsi="Verdana"/>
          <w:b/>
          <w:bCs/>
          <w:sz w:val="20"/>
          <w:szCs w:val="20"/>
        </w:rPr>
      </w:pPr>
    </w:p>
    <w:p w14:paraId="3FD71603">
      <w:pPr>
        <w:jc w:val="both"/>
        <w:rPr>
          <w:rFonts w:ascii="Verdana" w:hAnsi="Verdana"/>
          <w:sz w:val="20"/>
          <w:szCs w:val="20"/>
        </w:rPr>
      </w:pPr>
      <w:r>
        <w:rPr>
          <w:rFonts w:ascii="Verdana" w:hAnsi="Verdana"/>
          <w:sz w:val="20"/>
          <w:szCs w:val="20"/>
        </w:rPr>
        <w:t xml:space="preserve">   Έχοντας υπόψη :</w:t>
      </w:r>
    </w:p>
    <w:p w14:paraId="7EA5267C">
      <w:pPr>
        <w:jc w:val="both"/>
        <w:rPr>
          <w:rFonts w:ascii="Verdana" w:hAnsi="Verdana"/>
          <w:sz w:val="20"/>
          <w:szCs w:val="20"/>
        </w:rPr>
      </w:pPr>
      <w:r>
        <w:rPr>
          <w:rFonts w:ascii="Verdana" w:hAnsi="Verdana"/>
          <w:sz w:val="20"/>
          <w:szCs w:val="20"/>
        </w:rPr>
        <w:t>α)  το Π.Δ. 270/81 (ΦΕΚ Α΄77/30-3-81)</w:t>
      </w:r>
    </w:p>
    <w:p w14:paraId="786AA213">
      <w:pPr>
        <w:jc w:val="both"/>
        <w:rPr>
          <w:rFonts w:ascii="Verdana" w:hAnsi="Verdana"/>
          <w:b/>
          <w:bCs/>
          <w:sz w:val="20"/>
          <w:szCs w:val="20"/>
        </w:rPr>
      </w:pPr>
      <w:r>
        <w:rPr>
          <w:rFonts w:ascii="Verdana" w:hAnsi="Verdana"/>
          <w:sz w:val="20"/>
          <w:szCs w:val="20"/>
        </w:rPr>
        <w:t xml:space="preserve">β)  τις σχετικές διατάξεις του άρθρου  192 του Ν. 3463/2006 “Κώδικας Δήμων και Κοινοτήτων” </w:t>
      </w:r>
    </w:p>
    <w:p w14:paraId="4D932D5F">
      <w:pPr>
        <w:jc w:val="both"/>
        <w:rPr>
          <w:rFonts w:ascii="Verdana" w:hAnsi="Verdana"/>
          <w:sz w:val="20"/>
          <w:szCs w:val="20"/>
        </w:rPr>
      </w:pPr>
      <w:r>
        <w:rPr>
          <w:rFonts w:ascii="Verdana" w:hAnsi="Verdana"/>
          <w:sz w:val="20"/>
          <w:szCs w:val="20"/>
        </w:rPr>
        <w:t>γ)  το άρθρο 72 παρ. 1Ε του Ν. 3852/2010</w:t>
      </w:r>
    </w:p>
    <w:p w14:paraId="56D9AE8A">
      <w:pPr>
        <w:jc w:val="both"/>
        <w:rPr>
          <w:rFonts w:ascii="Verdana" w:hAnsi="Verdana"/>
          <w:sz w:val="20"/>
          <w:szCs w:val="20"/>
        </w:rPr>
      </w:pPr>
      <w:r>
        <w:rPr>
          <w:rFonts w:ascii="Verdana" w:hAnsi="Verdana"/>
          <w:sz w:val="20"/>
          <w:szCs w:val="20"/>
        </w:rPr>
        <w:t>δ) το άρθρο 76 του Ν. 4257/2014 (ΦΕΚ 93 Α΄14.04.2014 ) ΄΄ Επείγουσες ρυθμίσεις αρμοδιότητας  Υπουργείου Εσωτερικών ΄΄</w:t>
      </w:r>
    </w:p>
    <w:p w14:paraId="0398EF82">
      <w:pPr>
        <w:jc w:val="both"/>
        <w:rPr>
          <w:rFonts w:ascii="Verdana" w:hAnsi="Verdana"/>
          <w:b/>
          <w:bCs/>
          <w:sz w:val="20"/>
          <w:szCs w:val="20"/>
        </w:rPr>
      </w:pPr>
      <w:r>
        <w:rPr>
          <w:rFonts w:ascii="Verdana" w:hAnsi="Verdana"/>
          <w:sz w:val="20"/>
          <w:szCs w:val="20"/>
        </w:rPr>
        <w:t>ε)  την 38/ 23463/ 06.06.2014 Εγκύκλιο του Υπουργείου Εσωτερικών</w:t>
      </w:r>
    </w:p>
    <w:p w14:paraId="578D5FA0">
      <w:pPr>
        <w:jc w:val="both"/>
        <w:rPr>
          <w:rFonts w:ascii="Verdana" w:hAnsi="Verdana"/>
          <w:b/>
          <w:bCs/>
          <w:sz w:val="20"/>
          <w:szCs w:val="20"/>
        </w:rPr>
      </w:pPr>
      <w:r>
        <w:rPr>
          <w:rFonts w:ascii="Verdana" w:hAnsi="Verdana"/>
          <w:sz w:val="20"/>
          <w:szCs w:val="20"/>
        </w:rPr>
        <w:t>στ) τις διατάξεις του Ν. 4795/2021</w:t>
      </w:r>
    </w:p>
    <w:p w14:paraId="15A316F1">
      <w:pPr>
        <w:jc w:val="both"/>
        <w:rPr>
          <w:rFonts w:ascii="Verdana" w:hAnsi="Verdana"/>
          <w:sz w:val="20"/>
          <w:szCs w:val="20"/>
        </w:rPr>
      </w:pPr>
      <w:r>
        <w:rPr>
          <w:rFonts w:ascii="Verdana" w:hAnsi="Verdana"/>
          <w:sz w:val="20"/>
          <w:szCs w:val="20"/>
        </w:rPr>
        <w:t xml:space="preserve">ζ)  την 264/2015 ΑΔΣ Λεβαδέων, περί έγκρισης του Νέου Κανονισμού Περιπτέρων του Δήμου </w:t>
      </w:r>
    </w:p>
    <w:p w14:paraId="6CD64EDF">
      <w:pPr>
        <w:jc w:val="both"/>
        <w:rPr>
          <w:rFonts w:ascii="Verdana" w:hAnsi="Verdana"/>
          <w:b/>
          <w:bCs/>
          <w:sz w:val="20"/>
          <w:szCs w:val="20"/>
        </w:rPr>
      </w:pPr>
      <w:r>
        <w:rPr>
          <w:rFonts w:ascii="Verdana" w:hAnsi="Verdana"/>
          <w:sz w:val="20"/>
          <w:szCs w:val="20"/>
        </w:rPr>
        <w:t xml:space="preserve">    Λεβαδέων</w:t>
      </w:r>
    </w:p>
    <w:p w14:paraId="6D4801AF">
      <w:pPr>
        <w:jc w:val="both"/>
        <w:rPr>
          <w:rStyle w:val="7"/>
          <w:rFonts w:ascii="Verdana" w:hAnsi="Verdana" w:cs="Verdana"/>
          <w:b w:val="0"/>
          <w:color w:val="000000"/>
          <w:sz w:val="20"/>
          <w:szCs w:val="20"/>
        </w:rPr>
      </w:pPr>
      <w:r>
        <w:rPr>
          <w:rFonts w:ascii="Verdana" w:hAnsi="Verdana"/>
          <w:sz w:val="20"/>
          <w:szCs w:val="20"/>
        </w:rPr>
        <w:t>η) Την   5</w:t>
      </w:r>
      <w:r>
        <w:rPr>
          <w:rFonts w:hint="default" w:ascii="Verdana" w:hAnsi="Verdana"/>
          <w:sz w:val="20"/>
          <w:szCs w:val="20"/>
          <w:lang w:val="el-GR"/>
        </w:rPr>
        <w:t>2</w:t>
      </w:r>
      <w:r>
        <w:rPr>
          <w:rFonts w:ascii="Verdana" w:hAnsi="Verdana"/>
          <w:sz w:val="20"/>
          <w:szCs w:val="20"/>
        </w:rPr>
        <w:t>/202</w:t>
      </w:r>
      <w:r>
        <w:rPr>
          <w:rFonts w:hint="default" w:ascii="Verdana" w:hAnsi="Verdana"/>
          <w:sz w:val="20"/>
          <w:szCs w:val="20"/>
          <w:lang w:val="el-GR"/>
        </w:rPr>
        <w:t>5</w:t>
      </w:r>
      <w:r>
        <w:rPr>
          <w:rFonts w:ascii="Verdana" w:hAnsi="Verdana"/>
          <w:sz w:val="20"/>
          <w:szCs w:val="20"/>
        </w:rPr>
        <w:t xml:space="preserve"> απόφαση της Κοινότητας Λιβαδειάς, περί γνωμοδότησης για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xml:space="preserve">, </w:t>
      </w:r>
    </w:p>
    <w:p w14:paraId="28E4B14F">
      <w:pPr>
        <w:jc w:val="both"/>
      </w:pPr>
      <w:r>
        <w:rPr>
          <w:rStyle w:val="7"/>
          <w:rFonts w:ascii="Verdana" w:hAnsi="Verdana" w:cs="Verdana"/>
          <w:b w:val="0"/>
          <w:color w:val="000000"/>
          <w:sz w:val="20"/>
          <w:szCs w:val="20"/>
        </w:rPr>
        <w:t>Κοινότητας Λιβαδειάς.</w:t>
      </w:r>
    </w:p>
    <w:p w14:paraId="728B46A3">
      <w:pPr>
        <w:jc w:val="both"/>
        <w:rPr>
          <w:rFonts w:ascii="Verdana" w:hAnsi="Verdana"/>
          <w:sz w:val="20"/>
          <w:szCs w:val="20"/>
        </w:rPr>
      </w:pPr>
      <w:r>
        <w:rPr>
          <w:rFonts w:ascii="Verdana" w:hAnsi="Verdana"/>
          <w:sz w:val="20"/>
          <w:szCs w:val="20"/>
        </w:rPr>
        <w:t xml:space="preserve">θ) την   </w:t>
      </w:r>
      <w:r>
        <w:rPr>
          <w:rFonts w:hint="default" w:ascii="Verdana" w:hAnsi="Verdana"/>
          <w:sz w:val="20"/>
          <w:szCs w:val="20"/>
          <w:lang w:val="el-GR"/>
        </w:rPr>
        <w:t>5</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απόφαση της Δημοτικής Επιτροπής Δήμου Λεβαδέων, περί εισήγησης στο </w:t>
      </w:r>
    </w:p>
    <w:p w14:paraId="3D6931A1">
      <w:pPr>
        <w:jc w:val="both"/>
      </w:pPr>
      <w:r>
        <w:rPr>
          <w:rFonts w:ascii="Verdana" w:hAnsi="Verdana"/>
          <w:sz w:val="20"/>
          <w:szCs w:val="20"/>
        </w:rPr>
        <w:t>Δημοτικό Συμβούλιο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w:t>
      </w:r>
    </w:p>
    <w:p w14:paraId="33921BE4">
      <w:pPr>
        <w:jc w:val="both"/>
      </w:pPr>
      <w:r>
        <w:rPr>
          <w:rStyle w:val="7"/>
          <w:rFonts w:ascii="Verdana" w:hAnsi="Verdana" w:cs="Verdana"/>
          <w:b w:val="0"/>
          <w:color w:val="000000"/>
          <w:sz w:val="20"/>
          <w:szCs w:val="20"/>
        </w:rPr>
        <w:t xml:space="preserve">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Κοινότητας Λιβαδειάς.</w:t>
      </w:r>
    </w:p>
    <w:p w14:paraId="1BA5E888">
      <w:pPr>
        <w:jc w:val="both"/>
      </w:pPr>
      <w:r>
        <w:rPr>
          <w:rFonts w:ascii="Verdana" w:hAnsi="Verdana"/>
          <w:sz w:val="20"/>
          <w:szCs w:val="20"/>
        </w:rPr>
        <w:t xml:space="preserve">ι) την    </w:t>
      </w:r>
      <w:r>
        <w:rPr>
          <w:rFonts w:hint="default" w:ascii="Verdana" w:hAnsi="Verdana"/>
          <w:sz w:val="20"/>
          <w:szCs w:val="20"/>
          <w:lang w:val="el-GR"/>
        </w:rPr>
        <w:t>9</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Λεβαδέων,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w:t>
      </w:r>
    </w:p>
    <w:p w14:paraId="1FE94A39">
      <w:pPr>
        <w:jc w:val="both"/>
      </w:pPr>
      <w:r>
        <w:rPr>
          <w:rStyle w:val="7"/>
          <w:rFonts w:ascii="Verdana" w:hAnsi="Verdana" w:cs="Verdana"/>
          <w:b w:val="0"/>
          <w:color w:val="000000"/>
          <w:sz w:val="20"/>
          <w:szCs w:val="20"/>
        </w:rPr>
        <w:t xml:space="preserve">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Κοινότητας Λιβαδειάς.</w:t>
      </w:r>
    </w:p>
    <w:p w14:paraId="196EFF20">
      <w:pPr>
        <w:jc w:val="both"/>
      </w:pPr>
      <w:r>
        <w:rPr>
          <w:rFonts w:ascii="Verdana" w:hAnsi="Verdana"/>
          <w:sz w:val="20"/>
          <w:szCs w:val="20"/>
        </w:rPr>
        <w:t xml:space="preserve">κ) την   </w:t>
      </w:r>
      <w:r>
        <w:rPr>
          <w:rFonts w:hint="default" w:ascii="Verdana" w:hAnsi="Verdana"/>
          <w:sz w:val="20"/>
          <w:szCs w:val="20"/>
          <w:lang w:val="el-GR"/>
        </w:rPr>
        <w:t>18</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Λεβαδέων, περί κ</w:t>
      </w:r>
      <w:r>
        <w:rPr>
          <w:rFonts w:ascii="Verdana" w:hAnsi="Verdana" w:cs="Verdana"/>
          <w:sz w:val="20"/>
          <w:szCs w:val="20"/>
        </w:rPr>
        <w:t xml:space="preserve">αθορισμού χρόνου παραχώρησης δικαιώματος χρήσης και έγκριση διενέργειας πλειοδοτικής δημοπρασίας για την εκμίσθωση </w:t>
      </w:r>
      <w:r>
        <w:rPr>
          <w:rStyle w:val="7"/>
          <w:rFonts w:ascii="Verdana" w:hAnsi="Verdana" w:cs="Verdana"/>
          <w:b w:val="0"/>
          <w:color w:val="000000"/>
          <w:sz w:val="20"/>
          <w:szCs w:val="20"/>
        </w:rPr>
        <w:t>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Κοινότητας Λιβαδειάς.</w:t>
      </w:r>
    </w:p>
    <w:p w14:paraId="68E38854">
      <w:pPr>
        <w:jc w:val="both"/>
        <w:rPr>
          <w:rFonts w:ascii="Verdana" w:hAnsi="Verdana"/>
          <w:sz w:val="20"/>
          <w:szCs w:val="20"/>
        </w:rPr>
      </w:pPr>
      <w:r>
        <w:rPr>
          <w:rFonts w:ascii="Verdana" w:hAnsi="Verdana"/>
          <w:sz w:val="20"/>
          <w:szCs w:val="20"/>
        </w:rPr>
        <w:t xml:space="preserve">λ) τα χαρακτηριστικά του συγκεκριμένου περιπτέρου και τις ανάγκες του Δήμου </w:t>
      </w:r>
    </w:p>
    <w:p w14:paraId="2FD6274F">
      <w:pPr>
        <w:jc w:val="both"/>
        <w:rPr>
          <w:rFonts w:ascii="Verdana" w:hAnsi="Verdana"/>
          <w:b/>
          <w:bCs/>
          <w:sz w:val="20"/>
          <w:szCs w:val="20"/>
        </w:rPr>
      </w:pPr>
      <w:r>
        <w:rPr>
          <w:rFonts w:ascii="Verdana" w:hAnsi="Verdana"/>
          <w:b/>
          <w:bCs/>
          <w:sz w:val="20"/>
          <w:szCs w:val="20"/>
        </w:rPr>
        <w:t xml:space="preserve">                                                              </w:t>
      </w:r>
    </w:p>
    <w:p w14:paraId="7FFB14B8">
      <w:pPr>
        <w:jc w:val="both"/>
        <w:rPr>
          <w:rFonts w:ascii="Verdana" w:hAnsi="Verdana"/>
          <w:b/>
          <w:bCs/>
          <w:sz w:val="20"/>
          <w:szCs w:val="20"/>
        </w:rPr>
      </w:pPr>
      <w:r>
        <w:rPr>
          <w:rFonts w:ascii="Verdana" w:hAnsi="Verdana"/>
          <w:b/>
          <w:bCs/>
          <w:sz w:val="20"/>
          <w:szCs w:val="20"/>
        </w:rPr>
        <w:t xml:space="preserve">     </w:t>
      </w:r>
    </w:p>
    <w:p w14:paraId="6C65B6F0">
      <w:pPr>
        <w:jc w:val="center"/>
        <w:rPr>
          <w:rFonts w:ascii="Verdana" w:hAnsi="Verdana"/>
          <w:sz w:val="20"/>
          <w:szCs w:val="20"/>
        </w:rPr>
      </w:pPr>
      <w:r>
        <w:rPr>
          <w:rFonts w:ascii="Verdana" w:hAnsi="Verdana"/>
          <w:b/>
          <w:bCs/>
          <w:sz w:val="20"/>
          <w:szCs w:val="20"/>
        </w:rPr>
        <w:t>Προκηρύσσει</w:t>
      </w:r>
    </w:p>
    <w:p w14:paraId="136243E5">
      <w:pPr>
        <w:jc w:val="both"/>
        <w:rPr>
          <w:rFonts w:ascii="Verdana" w:hAnsi="Verdana"/>
          <w:b/>
          <w:bCs/>
          <w:sz w:val="20"/>
          <w:szCs w:val="20"/>
        </w:rPr>
      </w:pPr>
      <w:r>
        <w:rPr>
          <w:rFonts w:ascii="Verdana" w:hAnsi="Verdana"/>
          <w:sz w:val="20"/>
          <w:szCs w:val="20"/>
        </w:rPr>
        <w:t xml:space="preserve">δημοπρασία πλειοδοτική, φανερή και προφορική για την εκμίσθωση </w:t>
      </w:r>
      <w:r>
        <w:rPr>
          <w:rStyle w:val="7"/>
          <w:rFonts w:ascii="Verdana" w:hAnsi="Verdana" w:cs="Verdana"/>
          <w:b w:val="0"/>
          <w:color w:val="000000"/>
          <w:sz w:val="20"/>
          <w:szCs w:val="20"/>
        </w:rPr>
        <w:t>της θέσης του</w:t>
      </w:r>
      <w:r>
        <w:rPr>
          <w:rFonts w:ascii="Verdana" w:hAnsi="Verdana"/>
          <w:sz w:val="20"/>
          <w:szCs w:val="20"/>
        </w:rPr>
        <w:t xml:space="preserve"> </w:t>
      </w:r>
      <w:r>
        <w:rPr>
          <w:rStyle w:val="7"/>
          <w:rFonts w:ascii="Verdana" w:hAnsi="Verdana" w:cs="Verdana"/>
          <w:b w:val="0"/>
          <w:color w:val="000000"/>
          <w:sz w:val="20"/>
          <w:szCs w:val="20"/>
        </w:rPr>
        <w:t>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xml:space="preserve">, επιφανείας περιπτέρου </w:t>
      </w:r>
      <w:r>
        <w:rPr>
          <w:rStyle w:val="7"/>
          <w:rFonts w:hint="default" w:ascii="Verdana" w:hAnsi="Verdana" w:cs="Verdana"/>
          <w:b w:val="0"/>
          <w:color w:val="000000"/>
          <w:sz w:val="20"/>
          <w:szCs w:val="20"/>
          <w:lang w:val="el-GR"/>
        </w:rPr>
        <w:t>4</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56</w:t>
      </w:r>
      <w:r>
        <w:rPr>
          <w:rStyle w:val="7"/>
          <w:rFonts w:ascii="Verdana" w:hAnsi="Verdana" w:cs="Verdana"/>
          <w:b w:val="0"/>
          <w:color w:val="000000"/>
          <w:sz w:val="20"/>
          <w:szCs w:val="20"/>
        </w:rPr>
        <w:t xml:space="preserve"> τ.μ. (2,</w:t>
      </w:r>
      <w:r>
        <w:rPr>
          <w:rStyle w:val="7"/>
          <w:rFonts w:hint="default" w:ascii="Verdana" w:hAnsi="Verdana" w:cs="Verdana"/>
          <w:b w:val="0"/>
          <w:color w:val="000000"/>
          <w:sz w:val="20"/>
          <w:szCs w:val="20"/>
          <w:lang w:val="el-GR"/>
        </w:rPr>
        <w:t>40</w:t>
      </w:r>
      <w:r>
        <w:rPr>
          <w:rStyle w:val="7"/>
          <w:rFonts w:ascii="Verdana" w:hAnsi="Verdana" w:cs="Verdana"/>
          <w:b w:val="0"/>
          <w:color w:val="000000"/>
          <w:sz w:val="20"/>
          <w:szCs w:val="20"/>
        </w:rPr>
        <w:t xml:space="preserve"> χ</w:t>
      </w:r>
      <w:r>
        <w:rPr>
          <w:rStyle w:val="7"/>
          <w:rFonts w:hint="default" w:ascii="Verdana" w:hAnsi="Verdana" w:cs="Verdana"/>
          <w:b w:val="0"/>
          <w:color w:val="000000"/>
          <w:sz w:val="20"/>
          <w:szCs w:val="20"/>
          <w:lang w:val="el-GR"/>
        </w:rPr>
        <w:t xml:space="preserve"> 1</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9</w:t>
      </w:r>
      <w:r>
        <w:rPr>
          <w:rStyle w:val="7"/>
          <w:rFonts w:ascii="Verdana" w:hAnsi="Verdana" w:cs="Verdana"/>
          <w:b w:val="0"/>
          <w:color w:val="000000"/>
          <w:sz w:val="20"/>
          <w:szCs w:val="20"/>
        </w:rPr>
        <w:t>0) έτσι όπως αποτυπώνεται στην γενική κάτοψη της Διεύθυνσης Τεχνικών Υπηρεσιών του Δήμου Λεβαδέων</w:t>
      </w:r>
      <w:r>
        <w:rPr>
          <w:rFonts w:ascii="Verdana" w:hAnsi="Verdana"/>
          <w:sz w:val="20"/>
          <w:szCs w:val="20"/>
        </w:rPr>
        <w:t xml:space="preserve"> και καλούμε τους ενδιαφερόμενους να εκδηλώσουν ενδιαφέρον.</w:t>
      </w:r>
      <w:r>
        <w:rPr>
          <w:rFonts w:ascii="Verdana" w:hAnsi="Verdana"/>
          <w:b/>
          <w:bCs/>
          <w:sz w:val="20"/>
          <w:szCs w:val="20"/>
        </w:rPr>
        <w:t xml:space="preserve">                                                    </w:t>
      </w:r>
    </w:p>
    <w:p w14:paraId="513686E7">
      <w:pPr>
        <w:jc w:val="both"/>
        <w:rPr>
          <w:rFonts w:ascii="Verdana" w:hAnsi="Verdana"/>
          <w:b/>
          <w:bCs/>
          <w:sz w:val="20"/>
          <w:szCs w:val="20"/>
        </w:rPr>
      </w:pPr>
      <w:r>
        <w:rPr>
          <w:rFonts w:ascii="Verdana" w:hAnsi="Verdana"/>
          <w:b/>
          <w:bCs/>
          <w:sz w:val="20"/>
          <w:szCs w:val="20"/>
        </w:rPr>
        <w:t xml:space="preserve">                                                      </w:t>
      </w:r>
    </w:p>
    <w:p w14:paraId="4F47C656">
      <w:pPr>
        <w:jc w:val="both"/>
        <w:rPr>
          <w:rFonts w:ascii="Verdana" w:hAnsi="Verdana"/>
          <w:b/>
          <w:bCs/>
          <w:sz w:val="20"/>
          <w:szCs w:val="20"/>
        </w:rPr>
      </w:pPr>
      <w:r>
        <w:rPr>
          <w:rFonts w:ascii="Verdana" w:hAnsi="Verdana"/>
          <w:b/>
          <w:bCs/>
          <w:sz w:val="20"/>
          <w:szCs w:val="20"/>
        </w:rPr>
        <w:t xml:space="preserve">                                                        </w:t>
      </w:r>
    </w:p>
    <w:p w14:paraId="2FCF38AE">
      <w:pPr>
        <w:jc w:val="both"/>
        <w:rPr>
          <w:rFonts w:ascii="Verdana" w:hAnsi="Verdana"/>
          <w:b/>
          <w:bCs/>
          <w:sz w:val="20"/>
          <w:szCs w:val="20"/>
        </w:rPr>
      </w:pPr>
    </w:p>
    <w:p w14:paraId="5C113438">
      <w:pPr>
        <w:jc w:val="both"/>
        <w:rPr>
          <w:rFonts w:ascii="Verdana" w:hAnsi="Verdana"/>
          <w:b/>
          <w:bCs/>
          <w:sz w:val="20"/>
          <w:szCs w:val="20"/>
        </w:rPr>
      </w:pPr>
      <w:r>
        <w:rPr>
          <w:rFonts w:ascii="Verdana" w:hAnsi="Verdana"/>
          <w:b/>
          <w:bCs/>
          <w:sz w:val="20"/>
          <w:szCs w:val="20"/>
        </w:rPr>
        <w:t xml:space="preserve">                                                                Άρθρο  1</w:t>
      </w:r>
    </w:p>
    <w:p w14:paraId="75F2F255">
      <w:pPr>
        <w:jc w:val="both"/>
        <w:rPr>
          <w:rFonts w:ascii="Verdana" w:hAnsi="Verdana"/>
          <w:b/>
          <w:bCs/>
          <w:sz w:val="20"/>
          <w:szCs w:val="20"/>
        </w:rPr>
      </w:pPr>
      <w:r>
        <w:rPr>
          <w:rFonts w:ascii="Verdana" w:hAnsi="Verdana"/>
          <w:b/>
          <w:bCs/>
          <w:sz w:val="20"/>
          <w:szCs w:val="20"/>
        </w:rPr>
        <w:t xml:space="preserve">                                                      Περιγραφή περιπτέρου   </w:t>
      </w:r>
    </w:p>
    <w:p w14:paraId="4C598371">
      <w:pPr>
        <w:jc w:val="both"/>
        <w:rPr>
          <w:rFonts w:ascii="Verdana" w:hAnsi="Verdana"/>
          <w:sz w:val="20"/>
          <w:szCs w:val="20"/>
        </w:rPr>
      </w:pPr>
      <w:r>
        <w:rPr>
          <w:rFonts w:ascii="Verdana" w:hAnsi="Verdana"/>
          <w:sz w:val="20"/>
          <w:szCs w:val="20"/>
        </w:rPr>
        <w:t xml:space="preserve">Αφορά  την εκμίσθωση </w:t>
      </w:r>
      <w:r>
        <w:rPr>
          <w:rStyle w:val="7"/>
          <w:rFonts w:ascii="Verdana" w:hAnsi="Verdana" w:cs="Verdana"/>
          <w:b w:val="0"/>
          <w:color w:val="000000"/>
          <w:sz w:val="20"/>
          <w:szCs w:val="20"/>
        </w:rPr>
        <w:t>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Καραγιαννοπούλου 94</w:t>
      </w:r>
      <w:r>
        <w:rPr>
          <w:rStyle w:val="7"/>
          <w:rFonts w:ascii="Verdana" w:hAnsi="Verdana" w:cs="Verdana"/>
          <w:b w:val="0"/>
          <w:color w:val="000000"/>
          <w:sz w:val="20"/>
          <w:szCs w:val="20"/>
        </w:rPr>
        <w:t xml:space="preserve"> Κοινότητας Λιβαδειάς, επιφανείας περιπτέρου </w:t>
      </w:r>
      <w:r>
        <w:rPr>
          <w:rStyle w:val="7"/>
          <w:rFonts w:hint="default" w:ascii="Verdana" w:hAnsi="Verdana" w:cs="Verdana"/>
          <w:b w:val="0"/>
          <w:color w:val="000000"/>
          <w:sz w:val="20"/>
          <w:szCs w:val="20"/>
          <w:lang w:val="el-GR"/>
        </w:rPr>
        <w:t>4</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56</w:t>
      </w:r>
      <w:r>
        <w:rPr>
          <w:rStyle w:val="7"/>
          <w:rFonts w:ascii="Verdana" w:hAnsi="Verdana" w:cs="Verdana"/>
          <w:b w:val="0"/>
          <w:color w:val="000000"/>
          <w:sz w:val="20"/>
          <w:szCs w:val="20"/>
        </w:rPr>
        <w:t xml:space="preserve"> τ.μ. (2,</w:t>
      </w:r>
      <w:r>
        <w:rPr>
          <w:rStyle w:val="7"/>
          <w:rFonts w:hint="default" w:ascii="Verdana" w:hAnsi="Verdana" w:cs="Verdana"/>
          <w:b w:val="0"/>
          <w:color w:val="000000"/>
          <w:sz w:val="20"/>
          <w:szCs w:val="20"/>
          <w:lang w:val="el-GR"/>
        </w:rPr>
        <w:t>40</w:t>
      </w:r>
      <w:r>
        <w:rPr>
          <w:rStyle w:val="7"/>
          <w:rFonts w:ascii="Verdana" w:hAnsi="Verdana" w:cs="Verdana"/>
          <w:b w:val="0"/>
          <w:color w:val="000000"/>
          <w:sz w:val="20"/>
          <w:szCs w:val="20"/>
        </w:rPr>
        <w:t>χ</w:t>
      </w:r>
      <w:r>
        <w:rPr>
          <w:rStyle w:val="7"/>
          <w:rFonts w:hint="default" w:ascii="Verdana" w:hAnsi="Verdana" w:cs="Verdana"/>
          <w:b w:val="0"/>
          <w:color w:val="000000"/>
          <w:sz w:val="20"/>
          <w:szCs w:val="20"/>
          <w:lang w:val="el-GR"/>
        </w:rPr>
        <w:t>1</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9</w:t>
      </w:r>
      <w:r>
        <w:rPr>
          <w:rStyle w:val="7"/>
          <w:rFonts w:ascii="Verdana" w:hAnsi="Verdana" w:cs="Verdana"/>
          <w:b w:val="0"/>
          <w:color w:val="000000"/>
          <w:sz w:val="20"/>
          <w:szCs w:val="20"/>
        </w:rPr>
        <w:t>0) έτσι όπως αποτυπώνεται στην γενική κάτοψη της Διεύθυνσης Τεχνικών Υπηρεσιών του Δήμου Λεβαδέων.</w:t>
      </w:r>
    </w:p>
    <w:p w14:paraId="3B03DE62">
      <w:pPr>
        <w:jc w:val="both"/>
        <w:rPr>
          <w:rFonts w:ascii="Verdana" w:hAnsi="Verdana"/>
          <w:sz w:val="20"/>
          <w:szCs w:val="20"/>
        </w:rPr>
      </w:pPr>
    </w:p>
    <w:p w14:paraId="07A14EB0">
      <w:pPr>
        <w:jc w:val="both"/>
        <w:rPr>
          <w:rFonts w:ascii="Verdana" w:hAnsi="Verdana"/>
          <w:sz w:val="20"/>
          <w:szCs w:val="20"/>
        </w:rPr>
      </w:pPr>
      <w:r>
        <w:rPr>
          <w:rFonts w:ascii="Verdana" w:hAnsi="Verdana"/>
          <w:sz w:val="20"/>
          <w:szCs w:val="20"/>
        </w:rPr>
        <w:t xml:space="preserve">                                   </w:t>
      </w:r>
    </w:p>
    <w:p w14:paraId="774FF96C">
      <w:pPr>
        <w:jc w:val="both"/>
        <w:rPr>
          <w:rFonts w:ascii="Verdana" w:hAnsi="Verdana"/>
          <w:sz w:val="20"/>
          <w:szCs w:val="20"/>
        </w:rPr>
      </w:pPr>
      <w:r>
        <w:rPr>
          <w:rFonts w:ascii="Verdana" w:hAnsi="Verdana"/>
          <w:sz w:val="20"/>
          <w:szCs w:val="20"/>
        </w:rPr>
        <w:t xml:space="preserve">                                                              </w:t>
      </w:r>
    </w:p>
    <w:p w14:paraId="333A4720">
      <w:pPr>
        <w:jc w:val="both"/>
        <w:rPr>
          <w:rFonts w:ascii="Verdana" w:hAnsi="Verdana"/>
          <w:sz w:val="20"/>
          <w:szCs w:val="20"/>
        </w:rPr>
      </w:pPr>
    </w:p>
    <w:p w14:paraId="48D49008">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2</w:t>
      </w:r>
    </w:p>
    <w:p w14:paraId="2A3C66F2">
      <w:pPr>
        <w:jc w:val="both"/>
        <w:rPr>
          <w:rFonts w:ascii="Verdana" w:hAnsi="Verdana"/>
          <w:b/>
          <w:bCs/>
          <w:sz w:val="20"/>
          <w:szCs w:val="20"/>
        </w:rPr>
      </w:pPr>
      <w:r>
        <w:rPr>
          <w:rFonts w:ascii="Verdana" w:hAnsi="Verdana"/>
          <w:b/>
          <w:bCs/>
          <w:sz w:val="20"/>
          <w:szCs w:val="20"/>
        </w:rPr>
        <w:t xml:space="preserve">                                              Τρόπος Διενέργειας της Δημοπρασίας </w:t>
      </w:r>
    </w:p>
    <w:p w14:paraId="0E241762">
      <w:pPr>
        <w:jc w:val="both"/>
        <w:rPr>
          <w:rFonts w:ascii="Verdana" w:hAnsi="Verdana"/>
          <w:sz w:val="20"/>
          <w:szCs w:val="20"/>
        </w:rPr>
      </w:pPr>
      <w:r>
        <w:rPr>
          <w:rFonts w:ascii="Verdana" w:hAnsi="Verdana"/>
          <w:sz w:val="20"/>
          <w:szCs w:val="20"/>
        </w:rPr>
        <w:t>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εφ΄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14:paraId="7A68E45D">
      <w:pPr>
        <w:jc w:val="both"/>
        <w:rPr>
          <w:rFonts w:ascii="Verdana" w:hAnsi="Verdana"/>
          <w:sz w:val="20"/>
          <w:szCs w:val="20"/>
        </w:rPr>
      </w:pPr>
      <w:r>
        <w:rPr>
          <w:rFonts w:ascii="Verdana" w:hAnsi="Verdana"/>
          <w:sz w:val="20"/>
          <w:szCs w:val="20"/>
        </w:rPr>
        <w:t>Οι προσφορές των πλειοδοτών  αναγράφονται στα πρακτικά κατά σειρά εκφωνήσεως μετά του ονοματεπωνύμου του πλειοδότη. Πάσα προσφορά οφείλει να είναι κατά 10,00€ τουλάχιστον μεγαλύτερη της προηγούμενης και να είναι δεσμευτική για τον εκάστοτε πλειοδοτούντα.</w:t>
      </w:r>
    </w:p>
    <w:p w14:paraId="6E69045B">
      <w:pPr>
        <w:jc w:val="both"/>
        <w:rPr>
          <w:rFonts w:ascii="Verdana" w:hAnsi="Verdana"/>
          <w:sz w:val="20"/>
          <w:szCs w:val="20"/>
        </w:rPr>
      </w:pPr>
      <w:r>
        <w:rPr>
          <w:rFonts w:ascii="Verdana" w:hAnsi="Verdana"/>
          <w:sz w:val="20"/>
          <w:szCs w:val="20"/>
        </w:rPr>
        <w:t>Η δέσμευση δε αυτή μεταφέρεται αλληλοδιαδόχως από τον πρώτο στους ακόλουθους και επιβαρύνει οριστικώς τον τελευταίο πλειοδότη.</w:t>
      </w:r>
    </w:p>
    <w:p w14:paraId="38688DFF">
      <w:pPr>
        <w:jc w:val="both"/>
        <w:rPr>
          <w:rFonts w:ascii="Verdana" w:hAnsi="Verdana"/>
          <w:sz w:val="20"/>
          <w:szCs w:val="20"/>
        </w:rPr>
      </w:pPr>
      <w:r>
        <w:rPr>
          <w:rFonts w:ascii="Verdana" w:hAnsi="Verdana"/>
          <w:sz w:val="20"/>
          <w:szCs w:val="20"/>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14:paraId="24B18646">
      <w:pPr>
        <w:jc w:val="both"/>
        <w:rPr>
          <w:rFonts w:ascii="Verdana" w:hAnsi="Verdana"/>
          <w:sz w:val="20"/>
          <w:szCs w:val="20"/>
        </w:rPr>
      </w:pPr>
      <w:r>
        <w:rPr>
          <w:rFonts w:ascii="Verdana" w:hAnsi="Verdana"/>
          <w:sz w:val="20"/>
          <w:szCs w:val="20"/>
        </w:rPr>
        <w:t>Η απόφαση της  επί της δημοπρασίας επιτροπής περί αποκλεισμού ενδιαφερόμενου</w:t>
      </w:r>
    </w:p>
    <w:p w14:paraId="5F281195">
      <w:pPr>
        <w:jc w:val="both"/>
        <w:rPr>
          <w:rFonts w:ascii="Verdana" w:hAnsi="Verdana"/>
          <w:sz w:val="20"/>
          <w:szCs w:val="20"/>
        </w:rPr>
      </w:pPr>
      <w:r>
        <w:rPr>
          <w:rFonts w:ascii="Verdana" w:hAnsi="Verdana"/>
          <w:sz w:val="20"/>
          <w:szCs w:val="20"/>
        </w:rPr>
        <w:t xml:space="preserve">να συμμετάσχει στη δημοπρασία, επειδή δεν πληρεί τους υπό της οικείας  διακηρύξεως προβλεπόμενους όρους , αναγράφεται στα πρακτικά. Τα πρακτικά της δημοπρασίας συντάσσονται εφ΄ απλού χαρτιού. </w:t>
      </w:r>
    </w:p>
    <w:p w14:paraId="2F4361A6">
      <w:pPr>
        <w:jc w:val="both"/>
        <w:rPr>
          <w:rFonts w:ascii="Verdana" w:hAnsi="Verdana"/>
          <w:sz w:val="20"/>
          <w:szCs w:val="20"/>
        </w:rPr>
      </w:pPr>
      <w:r>
        <w:rPr>
          <w:rFonts w:ascii="Verdana" w:hAnsi="Verdana"/>
          <w:sz w:val="20"/>
          <w:szCs w:val="20"/>
        </w:rPr>
        <w:t>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αντ΄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14:paraId="79D8B815">
      <w:pPr>
        <w:jc w:val="both"/>
        <w:rPr>
          <w:rFonts w:ascii="Verdana" w:hAnsi="Verdana"/>
          <w:sz w:val="20"/>
          <w:szCs w:val="20"/>
        </w:rPr>
      </w:pPr>
      <w:r>
        <w:rPr>
          <w:rFonts w:ascii="Verdana" w:hAnsi="Verdana"/>
          <w:sz w:val="20"/>
          <w:szCs w:val="20"/>
        </w:rPr>
        <w:t xml:space="preserve"> </w:t>
      </w:r>
    </w:p>
    <w:p w14:paraId="52C4BD85">
      <w:pPr>
        <w:jc w:val="both"/>
        <w:rPr>
          <w:rFonts w:ascii="Verdana" w:hAnsi="Verdana"/>
          <w:sz w:val="20"/>
          <w:szCs w:val="20"/>
        </w:rPr>
      </w:pPr>
    </w:p>
    <w:p w14:paraId="18B88E3D">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3</w:t>
      </w:r>
    </w:p>
    <w:p w14:paraId="354FA697">
      <w:pPr>
        <w:jc w:val="both"/>
        <w:rPr>
          <w:rFonts w:ascii="Verdana" w:hAnsi="Verdana"/>
          <w:b/>
          <w:bCs/>
          <w:sz w:val="20"/>
          <w:szCs w:val="20"/>
        </w:rPr>
      </w:pPr>
      <w:r>
        <w:rPr>
          <w:rFonts w:ascii="Verdana" w:hAnsi="Verdana"/>
          <w:b/>
          <w:bCs/>
          <w:sz w:val="20"/>
          <w:szCs w:val="20"/>
        </w:rPr>
        <w:t xml:space="preserve">                             Τόπος , ημέρα και ώρα διεξαγωγής της δημοπρασίας.</w:t>
      </w:r>
    </w:p>
    <w:p w14:paraId="2431AE5D">
      <w:pPr>
        <w:jc w:val="both"/>
        <w:rPr>
          <w:rFonts w:ascii="Verdana" w:hAnsi="Verdana"/>
          <w:sz w:val="20"/>
          <w:szCs w:val="20"/>
        </w:rPr>
      </w:pPr>
      <w:r>
        <w:rPr>
          <w:rFonts w:ascii="Verdana" w:hAnsi="Verdana"/>
          <w:sz w:val="20"/>
          <w:szCs w:val="20"/>
        </w:rPr>
        <w:t xml:space="preserve">Η δημοπρασία θα διεξαχθεί </w:t>
      </w:r>
      <w:r>
        <w:rPr>
          <w:rFonts w:ascii="Verdana" w:hAnsi="Verdana"/>
          <w:b/>
          <w:sz w:val="20"/>
          <w:szCs w:val="20"/>
        </w:rPr>
        <w:t xml:space="preserve">την </w:t>
      </w:r>
      <w:r>
        <w:rPr>
          <w:rFonts w:hint="default" w:ascii="Verdana" w:hAnsi="Verdana"/>
          <w:b/>
          <w:sz w:val="20"/>
          <w:szCs w:val="20"/>
          <w:lang w:val="el-GR"/>
        </w:rPr>
        <w:t xml:space="preserve"> 13</w:t>
      </w:r>
      <w:r>
        <w:rPr>
          <w:rFonts w:ascii="Verdana" w:hAnsi="Verdana"/>
          <w:b/>
          <w:sz w:val="20"/>
          <w:szCs w:val="20"/>
          <w:vertAlign w:val="superscript"/>
        </w:rPr>
        <w:t>η</w:t>
      </w:r>
      <w:r>
        <w:rPr>
          <w:rFonts w:ascii="Verdana" w:hAnsi="Verdana"/>
          <w:b/>
          <w:sz w:val="20"/>
          <w:szCs w:val="20"/>
        </w:rPr>
        <w:t xml:space="preserve"> </w:t>
      </w:r>
      <w:r>
        <w:rPr>
          <w:rFonts w:ascii="Verdana" w:hAnsi="Verdana"/>
          <w:b/>
          <w:sz w:val="20"/>
          <w:szCs w:val="20"/>
          <w:lang w:val="el-GR"/>
        </w:rPr>
        <w:t>Μαρτίου</w:t>
      </w:r>
      <w:r>
        <w:rPr>
          <w:rFonts w:hint="default" w:ascii="Verdana" w:hAnsi="Verdana"/>
          <w:b/>
          <w:sz w:val="20"/>
          <w:szCs w:val="20"/>
          <w:lang w:val="el-GR"/>
        </w:rPr>
        <w:t xml:space="preserve"> </w:t>
      </w:r>
      <w:r>
        <w:rPr>
          <w:rFonts w:ascii="Verdana" w:hAnsi="Verdana"/>
          <w:b/>
          <w:sz w:val="20"/>
          <w:szCs w:val="20"/>
        </w:rPr>
        <w:t>202</w:t>
      </w:r>
      <w:r>
        <w:rPr>
          <w:rFonts w:hint="default" w:ascii="Verdana" w:hAnsi="Verdana"/>
          <w:b/>
          <w:sz w:val="20"/>
          <w:szCs w:val="20"/>
          <w:lang w:val="el-GR"/>
        </w:rPr>
        <w:t>6</w:t>
      </w:r>
      <w:r>
        <w:rPr>
          <w:rFonts w:ascii="Verdana" w:hAnsi="Verdana"/>
          <w:b/>
          <w:sz w:val="20"/>
          <w:szCs w:val="20"/>
        </w:rPr>
        <w:t xml:space="preserve"> ημέρα</w:t>
      </w:r>
      <w:r>
        <w:rPr>
          <w:rFonts w:hint="default" w:ascii="Verdana" w:hAnsi="Verdana"/>
          <w:b/>
          <w:sz w:val="20"/>
          <w:szCs w:val="20"/>
          <w:lang w:val="el-GR"/>
        </w:rPr>
        <w:t xml:space="preserve">  Παρασκευή</w:t>
      </w:r>
      <w:r>
        <w:rPr>
          <w:rFonts w:ascii="Verdana" w:hAnsi="Verdana"/>
          <w:b/>
          <w:sz w:val="20"/>
          <w:szCs w:val="20"/>
        </w:rPr>
        <w:t xml:space="preserve"> και ώρα 12.00 μ.μ</w:t>
      </w:r>
      <w:r>
        <w:rPr>
          <w:rFonts w:ascii="Verdana" w:hAnsi="Verdana"/>
          <w:sz w:val="20"/>
          <w:szCs w:val="20"/>
        </w:rPr>
        <w:t xml:space="preserve"> στο Δημοτικό κατάστημα Λιβαδειάς (Πλατεία Λ. Κατσώνη,  Λιβαδειά).</w:t>
      </w:r>
    </w:p>
    <w:p w14:paraId="41E78E94">
      <w:pPr>
        <w:jc w:val="both"/>
        <w:rPr>
          <w:rFonts w:ascii="Verdana" w:hAnsi="Verdana"/>
          <w:sz w:val="20"/>
          <w:szCs w:val="20"/>
        </w:rPr>
      </w:pPr>
      <w:r>
        <w:rPr>
          <w:rFonts w:ascii="Verdana" w:hAnsi="Verdana"/>
          <w:sz w:val="20"/>
          <w:szCs w:val="20"/>
        </w:rPr>
        <w:t>Η δημοπρασία θα ακολουθήσει τρία στάδια :</w:t>
      </w:r>
    </w:p>
    <w:p w14:paraId="732F849D">
      <w:pPr>
        <w:jc w:val="both"/>
        <w:rPr>
          <w:rFonts w:ascii="Verdana" w:hAnsi="Verdana"/>
          <w:sz w:val="20"/>
          <w:szCs w:val="20"/>
        </w:rPr>
      </w:pPr>
    </w:p>
    <w:p w14:paraId="10D58994">
      <w:pPr>
        <w:jc w:val="both"/>
        <w:rPr>
          <w:rFonts w:ascii="Verdana" w:hAnsi="Verdana"/>
          <w:b/>
          <w:bCs/>
          <w:sz w:val="20"/>
          <w:szCs w:val="20"/>
        </w:rPr>
      </w:pPr>
      <w:r>
        <w:rPr>
          <w:rFonts w:ascii="Verdana" w:hAnsi="Verdana"/>
          <w:b/>
          <w:bCs/>
          <w:sz w:val="20"/>
          <w:szCs w:val="20"/>
        </w:rPr>
        <w:t xml:space="preserve">Στάδιο 1ο : </w:t>
      </w:r>
      <w:r>
        <w:rPr>
          <w:rFonts w:ascii="Verdana" w:hAnsi="Verdana"/>
          <w:sz w:val="20"/>
          <w:szCs w:val="20"/>
        </w:rPr>
        <w:t>Υποβολή κλειστών φακέλλων δικαιολογητικών από 12.00 μ.μ έως 12.30 μ.μ</w:t>
      </w:r>
    </w:p>
    <w:p w14:paraId="7CE01BBE">
      <w:pPr>
        <w:jc w:val="both"/>
        <w:rPr>
          <w:rFonts w:ascii="Verdana" w:hAnsi="Verdana"/>
          <w:sz w:val="20"/>
          <w:szCs w:val="20"/>
        </w:rPr>
      </w:pPr>
      <w:r>
        <w:rPr>
          <w:rFonts w:ascii="Verdana" w:hAnsi="Verdana"/>
          <w:sz w:val="20"/>
          <w:szCs w:val="20"/>
        </w:rPr>
        <w:t>Οι υποβληθέντες φάκελλοι θα πρέπει να φέρουν αριθμό πρωτοκόλλου και στους οποίους θα αναγράφονται τα παρακάτω :</w:t>
      </w:r>
    </w:p>
    <w:p w14:paraId="4E2B8933">
      <w:pPr>
        <w:jc w:val="both"/>
        <w:rPr>
          <w:rFonts w:ascii="Verdana" w:hAnsi="Verdana"/>
          <w:sz w:val="20"/>
          <w:szCs w:val="20"/>
        </w:rPr>
      </w:pPr>
      <w:r>
        <w:rPr>
          <w:rFonts w:ascii="Verdana" w:hAnsi="Verdana"/>
          <w:sz w:val="20"/>
          <w:szCs w:val="20"/>
        </w:rPr>
        <w:t xml:space="preserve">                                                   </w:t>
      </w:r>
    </w:p>
    <w:p w14:paraId="6F775C8E">
      <w:pPr>
        <w:jc w:val="both"/>
        <w:rPr>
          <w:rFonts w:ascii="Verdana" w:hAnsi="Verdana"/>
          <w:b/>
          <w:bCs/>
          <w:sz w:val="20"/>
          <w:szCs w:val="20"/>
        </w:rPr>
      </w:pPr>
      <w:r>
        <w:rPr>
          <w:rFonts w:ascii="Verdana" w:hAnsi="Verdana"/>
          <w:sz w:val="20"/>
          <w:szCs w:val="20"/>
        </w:rPr>
        <w:t xml:space="preserve">                                                               </w:t>
      </w:r>
      <w:r>
        <w:rPr>
          <w:rFonts w:ascii="Verdana" w:hAnsi="Verdana"/>
          <w:b/>
          <w:bCs/>
          <w:sz w:val="20"/>
          <w:szCs w:val="20"/>
        </w:rPr>
        <w:t>ΠΡΟΣΦΟΡΑ</w:t>
      </w:r>
    </w:p>
    <w:p w14:paraId="3C5662E9">
      <w:pPr>
        <w:jc w:val="both"/>
        <w:rPr>
          <w:rFonts w:ascii="Verdana" w:hAnsi="Verdana"/>
          <w:b/>
          <w:bCs/>
          <w:sz w:val="20"/>
          <w:szCs w:val="20"/>
        </w:rPr>
      </w:pPr>
      <w:r>
        <w:rPr>
          <w:rFonts w:ascii="Verdana" w:hAnsi="Verdana"/>
          <w:b/>
          <w:bCs/>
          <w:sz w:val="20"/>
          <w:szCs w:val="20"/>
        </w:rPr>
        <w:t xml:space="preserve">                                               Προς την Επιτροπή Δημοπρασιών</w:t>
      </w:r>
    </w:p>
    <w:p w14:paraId="24F9404C">
      <w:pPr>
        <w:jc w:val="both"/>
        <w:rPr>
          <w:rFonts w:ascii="Verdana" w:hAnsi="Verdana"/>
          <w:b/>
          <w:sz w:val="20"/>
          <w:szCs w:val="20"/>
        </w:rPr>
      </w:pPr>
      <w:r>
        <w:rPr>
          <w:rFonts w:ascii="Verdana" w:hAnsi="Verdana"/>
          <w:b/>
          <w:bCs/>
          <w:sz w:val="20"/>
          <w:szCs w:val="20"/>
        </w:rPr>
        <w:t xml:space="preserve">Για τον πλειοδοτικό διαγωνισμό εκμίσθωσης του κενωθέντος περιπτέρου </w:t>
      </w:r>
      <w:r>
        <w:rPr>
          <w:rStyle w:val="7"/>
          <w:rFonts w:ascii="Verdana" w:hAnsi="Verdana" w:cs="Verdana"/>
          <w:bCs/>
          <w:color w:val="000000"/>
          <w:sz w:val="20"/>
          <w:szCs w:val="20"/>
        </w:rPr>
        <w:t xml:space="preserve">που βρίσκεται επί της </w:t>
      </w:r>
      <w:r>
        <w:rPr>
          <w:rStyle w:val="7"/>
          <w:rFonts w:ascii="Verdana" w:hAnsi="Verdana" w:cs="Verdana"/>
          <w:bCs/>
          <w:color w:val="000000"/>
          <w:sz w:val="20"/>
          <w:szCs w:val="20"/>
          <w:lang w:val="el-GR"/>
        </w:rPr>
        <w:t>οδού</w:t>
      </w:r>
      <w:r>
        <w:rPr>
          <w:rStyle w:val="7"/>
          <w:rFonts w:hint="default" w:ascii="Verdana" w:hAnsi="Verdana" w:cs="Verdana"/>
          <w:bCs/>
          <w:color w:val="000000"/>
          <w:sz w:val="20"/>
          <w:szCs w:val="20"/>
          <w:lang w:val="el-GR"/>
        </w:rPr>
        <w:t xml:space="preserve"> Καραγιαννοπούλου 94</w:t>
      </w:r>
      <w:r>
        <w:rPr>
          <w:rStyle w:val="7"/>
          <w:rFonts w:ascii="Verdana" w:hAnsi="Verdana" w:cs="Verdana"/>
          <w:bCs/>
          <w:color w:val="000000"/>
          <w:sz w:val="20"/>
          <w:szCs w:val="20"/>
        </w:rPr>
        <w:t xml:space="preserve">, </w:t>
      </w:r>
      <w:r>
        <w:rPr>
          <w:rFonts w:ascii="Verdana" w:hAnsi="Verdana"/>
          <w:b/>
          <w:bCs/>
          <w:sz w:val="20"/>
          <w:szCs w:val="20"/>
        </w:rPr>
        <w:t>στην Κοινότητα Λιβαδειάς.</w:t>
      </w:r>
    </w:p>
    <w:p w14:paraId="6E2C35DC">
      <w:pPr>
        <w:jc w:val="both"/>
        <w:rPr>
          <w:rFonts w:ascii="Verdana" w:hAnsi="Verdana"/>
          <w:b/>
          <w:bCs/>
          <w:sz w:val="20"/>
          <w:szCs w:val="20"/>
        </w:rPr>
      </w:pPr>
    </w:p>
    <w:p w14:paraId="08844963">
      <w:pPr>
        <w:jc w:val="both"/>
        <w:rPr>
          <w:rFonts w:ascii="Verdana" w:hAnsi="Verdana"/>
          <w:b/>
          <w:bCs/>
          <w:sz w:val="20"/>
          <w:szCs w:val="20"/>
        </w:rPr>
      </w:pPr>
      <w:r>
        <w:rPr>
          <w:rFonts w:ascii="Verdana" w:hAnsi="Verdana"/>
          <w:b/>
          <w:bCs/>
          <w:sz w:val="20"/>
          <w:szCs w:val="20"/>
        </w:rPr>
        <w:t xml:space="preserve">Στάδιο 2ο. : </w:t>
      </w:r>
      <w:r>
        <w:rPr>
          <w:rFonts w:ascii="Verdana" w:hAnsi="Verdana"/>
          <w:sz w:val="20"/>
          <w:szCs w:val="20"/>
        </w:rPr>
        <w:t>Έλεγχος δικαιολογητικών από τη  Επιτροπή Δημοπρασιών και ανακοίνωση των έγκυρων φακέλων</w:t>
      </w:r>
    </w:p>
    <w:p w14:paraId="37CE0D9B">
      <w:pPr>
        <w:jc w:val="both"/>
        <w:rPr>
          <w:rFonts w:ascii="Verdana" w:hAnsi="Verdana"/>
          <w:b/>
          <w:bCs/>
          <w:sz w:val="20"/>
          <w:szCs w:val="20"/>
        </w:rPr>
      </w:pPr>
      <w:r>
        <w:rPr>
          <w:rFonts w:ascii="Verdana" w:hAnsi="Verdana"/>
          <w:b/>
          <w:bCs/>
          <w:sz w:val="20"/>
          <w:szCs w:val="20"/>
        </w:rPr>
        <w:t xml:space="preserve">Στάδιο 3ο  : </w:t>
      </w:r>
      <w:r>
        <w:rPr>
          <w:rFonts w:ascii="Verdana" w:hAnsi="Verdana"/>
          <w:sz w:val="20"/>
          <w:szCs w:val="20"/>
        </w:rPr>
        <w:t xml:space="preserve">Ώρα έναρξης διαδικασίας φανερού πλειοδοτικού διαγωνισμού </w:t>
      </w:r>
      <w:r>
        <w:rPr>
          <w:rFonts w:ascii="Verdana" w:hAnsi="Verdana"/>
          <w:sz w:val="20"/>
          <w:szCs w:val="20"/>
          <w:shd w:val="clear" w:color="auto" w:fill="FFFF00"/>
        </w:rPr>
        <w:t>12.30 μ.μ.</w:t>
      </w:r>
    </w:p>
    <w:p w14:paraId="5A76B947">
      <w:pPr>
        <w:jc w:val="both"/>
        <w:rPr>
          <w:rFonts w:ascii="Verdana" w:hAnsi="Verdana"/>
          <w:sz w:val="20"/>
          <w:szCs w:val="20"/>
        </w:rPr>
      </w:pPr>
      <w:r>
        <w:rPr>
          <w:rFonts w:ascii="Verdana" w:hAnsi="Verdana"/>
          <w:sz w:val="20"/>
          <w:szCs w:val="20"/>
        </w:rPr>
        <w:t xml:space="preserve">                                                            </w:t>
      </w:r>
    </w:p>
    <w:p w14:paraId="125696F1">
      <w:pPr>
        <w:jc w:val="both"/>
        <w:rPr>
          <w:rFonts w:ascii="Verdana" w:hAnsi="Verdana"/>
          <w:sz w:val="20"/>
          <w:szCs w:val="20"/>
        </w:rPr>
      </w:pPr>
      <w:r>
        <w:rPr>
          <w:rFonts w:ascii="Verdana" w:hAnsi="Verdana"/>
          <w:sz w:val="20"/>
          <w:szCs w:val="20"/>
        </w:rPr>
        <w:t xml:space="preserve">                                                     </w:t>
      </w:r>
    </w:p>
    <w:p w14:paraId="530C6A7C">
      <w:pPr>
        <w:jc w:val="both"/>
        <w:rPr>
          <w:rFonts w:ascii="Verdana" w:hAnsi="Verdana"/>
          <w:sz w:val="20"/>
          <w:szCs w:val="20"/>
        </w:rPr>
      </w:pPr>
    </w:p>
    <w:p w14:paraId="2E3EF187">
      <w:pPr>
        <w:jc w:val="center"/>
        <w:rPr>
          <w:rFonts w:ascii="Verdana" w:hAnsi="Verdana"/>
          <w:b/>
          <w:bCs/>
          <w:sz w:val="20"/>
          <w:szCs w:val="20"/>
        </w:rPr>
      </w:pPr>
    </w:p>
    <w:p w14:paraId="419D46C1">
      <w:pPr>
        <w:jc w:val="center"/>
        <w:rPr>
          <w:rFonts w:ascii="Verdana" w:hAnsi="Verdana"/>
          <w:b/>
          <w:bCs/>
          <w:sz w:val="20"/>
          <w:szCs w:val="20"/>
        </w:rPr>
      </w:pPr>
      <w:r>
        <w:rPr>
          <w:rFonts w:ascii="Verdana" w:hAnsi="Verdana"/>
          <w:b/>
          <w:bCs/>
          <w:sz w:val="20"/>
          <w:szCs w:val="20"/>
        </w:rPr>
        <w:t>Άρθρο 4</w:t>
      </w:r>
    </w:p>
    <w:p w14:paraId="734C4ECD">
      <w:pPr>
        <w:jc w:val="both"/>
        <w:rPr>
          <w:rFonts w:ascii="Verdana" w:hAnsi="Verdana"/>
          <w:b/>
          <w:bCs/>
          <w:sz w:val="20"/>
          <w:szCs w:val="20"/>
        </w:rPr>
      </w:pPr>
      <w:r>
        <w:rPr>
          <w:rFonts w:ascii="Verdana" w:hAnsi="Verdana"/>
          <w:b/>
          <w:bCs/>
          <w:sz w:val="20"/>
          <w:szCs w:val="20"/>
        </w:rPr>
        <w:t xml:space="preserve">                                                     Δικαίωμα συμμετοχής </w:t>
      </w:r>
    </w:p>
    <w:p w14:paraId="4F25A265">
      <w:pPr>
        <w:jc w:val="both"/>
        <w:rPr>
          <w:rFonts w:ascii="Verdana" w:hAnsi="Verdana"/>
          <w:sz w:val="20"/>
          <w:szCs w:val="20"/>
        </w:rPr>
      </w:pPr>
      <w:r>
        <w:rPr>
          <w:rFonts w:ascii="Verdana" w:hAnsi="Verdana"/>
          <w:sz w:val="20"/>
          <w:szCs w:val="20"/>
        </w:rPr>
        <w:t xml:space="preserve">Δικαίωμα συμμετοχής στη δημοπρασία έχουν φυσικά πρόσωπα, νομικά πρόσωπα  και συνεταιρισμοί φυσικών προσώπων, με την προϋπόθεση να προσκομίσουν όλα τα δικαιολογητικά που αναφέρονται στο </w:t>
      </w:r>
      <w:r>
        <w:rPr>
          <w:rFonts w:ascii="Verdana" w:hAnsi="Verdana"/>
          <w:b/>
          <w:bCs/>
          <w:sz w:val="20"/>
          <w:szCs w:val="20"/>
        </w:rPr>
        <w:t xml:space="preserve">άρθρο 5 </w:t>
      </w:r>
      <w:r>
        <w:rPr>
          <w:rFonts w:ascii="Verdana" w:hAnsi="Verdana"/>
          <w:sz w:val="20"/>
          <w:szCs w:val="20"/>
        </w:rPr>
        <w:t>της διακήρυξης.</w:t>
      </w:r>
    </w:p>
    <w:p w14:paraId="51C219ED">
      <w:pPr>
        <w:jc w:val="both"/>
        <w:rPr>
          <w:rFonts w:ascii="Verdana" w:hAnsi="Verdana"/>
          <w:sz w:val="20"/>
          <w:szCs w:val="20"/>
        </w:rPr>
      </w:pPr>
    </w:p>
    <w:p w14:paraId="2E0AD177">
      <w:pPr>
        <w:jc w:val="both"/>
        <w:rPr>
          <w:rFonts w:ascii="Verdana" w:hAnsi="Verdana"/>
          <w:sz w:val="20"/>
          <w:szCs w:val="20"/>
        </w:rPr>
      </w:pPr>
      <w:r>
        <w:rPr>
          <w:rFonts w:ascii="Verdana" w:hAnsi="Verdana"/>
          <w:sz w:val="20"/>
          <w:szCs w:val="20"/>
        </w:rPr>
        <w:t xml:space="preserve">                                                                                                                   </w:t>
      </w:r>
    </w:p>
    <w:p w14:paraId="0C1E9736">
      <w:pPr>
        <w:jc w:val="both"/>
        <w:rPr>
          <w:rFonts w:ascii="Verdana" w:hAnsi="Verdana"/>
          <w:sz w:val="20"/>
          <w:szCs w:val="20"/>
        </w:rPr>
      </w:pPr>
      <w:r>
        <w:rPr>
          <w:rFonts w:ascii="Verdana" w:hAnsi="Verdana"/>
          <w:sz w:val="20"/>
          <w:szCs w:val="20"/>
        </w:rPr>
        <w:t xml:space="preserve">                                                    </w:t>
      </w:r>
    </w:p>
    <w:p w14:paraId="56563968">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5</w:t>
      </w:r>
    </w:p>
    <w:p w14:paraId="6D5C6CB3">
      <w:pPr>
        <w:jc w:val="both"/>
        <w:rPr>
          <w:rFonts w:ascii="Verdana" w:hAnsi="Verdana"/>
          <w:sz w:val="20"/>
          <w:szCs w:val="20"/>
        </w:rPr>
      </w:pPr>
      <w:r>
        <w:rPr>
          <w:rFonts w:ascii="Verdana" w:hAnsi="Verdana"/>
          <w:b/>
          <w:bCs/>
          <w:sz w:val="20"/>
          <w:szCs w:val="20"/>
        </w:rPr>
        <w:t xml:space="preserve">                                              Δικαιολογητικά  συμμετοχής</w:t>
      </w:r>
    </w:p>
    <w:p w14:paraId="2547D682">
      <w:pPr>
        <w:jc w:val="both"/>
        <w:rPr>
          <w:rFonts w:ascii="Verdana" w:hAnsi="Verdana"/>
          <w:sz w:val="20"/>
          <w:szCs w:val="20"/>
        </w:rPr>
      </w:pPr>
      <w:r>
        <w:rPr>
          <w:rFonts w:ascii="Verdana" w:hAnsi="Verdana"/>
          <w:sz w:val="20"/>
          <w:szCs w:val="20"/>
        </w:rPr>
        <w:t xml:space="preserve">Οι συμμετέχοντες στο διαγωνισμό θα πρέπει να υποβάλλουν στην αρμόδια επιτροπή τα εξής δικαιολογητικά, </w:t>
      </w:r>
      <w:r>
        <w:rPr>
          <w:rFonts w:ascii="Verdana" w:hAnsi="Verdana"/>
          <w:b/>
          <w:bCs/>
          <w:sz w:val="20"/>
          <w:szCs w:val="20"/>
        </w:rPr>
        <w:t>επί ποινή αποκλεισμού:</w:t>
      </w:r>
    </w:p>
    <w:p w14:paraId="659C2BA8">
      <w:pPr>
        <w:jc w:val="both"/>
        <w:rPr>
          <w:rFonts w:ascii="Verdana" w:hAnsi="Verdana"/>
          <w:sz w:val="20"/>
          <w:szCs w:val="20"/>
        </w:rPr>
      </w:pPr>
      <w:r>
        <w:rPr>
          <w:rFonts w:ascii="Verdana" w:hAnsi="Verdana"/>
          <w:sz w:val="20"/>
          <w:szCs w:val="20"/>
        </w:rPr>
        <w:t>1.</w:t>
      </w:r>
      <w:r>
        <w:rPr>
          <w:rFonts w:ascii="Verdana" w:hAnsi="Verdana"/>
          <w:b/>
          <w:bCs/>
          <w:sz w:val="20"/>
          <w:szCs w:val="20"/>
        </w:rPr>
        <w:t xml:space="preserve"> </w:t>
      </w:r>
      <w:r>
        <w:rPr>
          <w:rFonts w:ascii="Verdana" w:hAnsi="Verdana"/>
          <w:sz w:val="20"/>
          <w:szCs w:val="20"/>
        </w:rPr>
        <w:t>Αντίγραφα της αστυνομικής ταυτότητας &amp; του τελευταίου εκκαθαριστικού σημειώματος, καθώς και του εγγυητή τους ή του πληρεξούσιου τους,</w:t>
      </w:r>
    </w:p>
    <w:p w14:paraId="5BFF7DA7">
      <w:pPr>
        <w:jc w:val="both"/>
        <w:rPr>
          <w:rFonts w:ascii="Verdana" w:hAnsi="Verdana"/>
          <w:sz w:val="20"/>
          <w:szCs w:val="20"/>
        </w:rPr>
      </w:pPr>
      <w:r>
        <w:rPr>
          <w:rFonts w:ascii="Verdana" w:hAnsi="Verdana"/>
          <w:sz w:val="20"/>
          <w:szCs w:val="20"/>
        </w:rPr>
        <w:t>2. Απόσπασμα Ποινικού Μητρώου το οποίο να είναι σε ισχύ, καθώς και του εγγυητή τους  ή του πληρεξουσίου τους,</w:t>
      </w:r>
    </w:p>
    <w:p w14:paraId="74FAF7C2">
      <w:pPr>
        <w:jc w:val="both"/>
        <w:rPr>
          <w:rFonts w:ascii="Verdana" w:hAnsi="Verdana"/>
          <w:sz w:val="20"/>
          <w:szCs w:val="20"/>
        </w:rPr>
      </w:pPr>
      <w:r>
        <w:rPr>
          <w:rFonts w:ascii="Verdana" w:hAnsi="Verdana"/>
          <w:sz w:val="20"/>
          <w:szCs w:val="20"/>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14:paraId="56E60F04">
      <w:pPr>
        <w:jc w:val="both"/>
        <w:rPr>
          <w:rFonts w:ascii="Verdana" w:hAnsi="Verdana"/>
          <w:sz w:val="20"/>
          <w:szCs w:val="20"/>
        </w:rPr>
      </w:pPr>
      <w:r>
        <w:rPr>
          <w:rFonts w:ascii="Verdana" w:hAnsi="Verdana"/>
          <w:sz w:val="20"/>
          <w:szCs w:val="20"/>
        </w:rPr>
        <w:t>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διζήσεως ή  διαιρέσεως , καθώς και της</w:t>
      </w:r>
    </w:p>
    <w:p w14:paraId="6F2679CC">
      <w:pPr>
        <w:jc w:val="both"/>
        <w:rPr>
          <w:rFonts w:ascii="Verdana" w:hAnsi="Verdana"/>
          <w:sz w:val="20"/>
          <w:szCs w:val="20"/>
        </w:rPr>
      </w:pPr>
      <w:r>
        <w:rPr>
          <w:rFonts w:ascii="Verdana" w:hAnsi="Verdana"/>
          <w:sz w:val="20"/>
          <w:szCs w:val="20"/>
        </w:rPr>
        <w:t>πραγματικής κατάστασης, του προς μίσθωσης χώρου και των ιδιαίτερων συνθηκών που επικρατούν.</w:t>
      </w:r>
    </w:p>
    <w:p w14:paraId="186AC25F">
      <w:pPr>
        <w:jc w:val="both"/>
        <w:rPr>
          <w:rFonts w:ascii="Verdana" w:hAnsi="Verdana"/>
          <w:sz w:val="20"/>
          <w:szCs w:val="20"/>
        </w:rPr>
      </w:pPr>
      <w:r>
        <w:rPr>
          <w:rFonts w:ascii="Verdana" w:hAnsi="Verdana"/>
          <w:sz w:val="20"/>
          <w:szCs w:val="20"/>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14:paraId="08847FC1">
      <w:pPr>
        <w:jc w:val="both"/>
        <w:rPr>
          <w:rFonts w:ascii="Verdana" w:hAnsi="Verdana"/>
          <w:sz w:val="20"/>
          <w:szCs w:val="20"/>
        </w:rPr>
      </w:pPr>
      <w:r>
        <w:rPr>
          <w:rFonts w:ascii="Verdana" w:hAnsi="Verdana"/>
          <w:sz w:val="20"/>
          <w:szCs w:val="20"/>
        </w:rPr>
        <w:t xml:space="preserve">( ονοματεπώνυμο , διεύθυνση κατοικίας, τηλέφωνο κ.λ.π.) και το Α.Φ.Μ. του, </w:t>
      </w:r>
    </w:p>
    <w:p w14:paraId="67EA3578">
      <w:pPr>
        <w:jc w:val="both"/>
        <w:rPr>
          <w:rFonts w:ascii="Verdana" w:hAnsi="Verdana"/>
          <w:sz w:val="20"/>
          <w:szCs w:val="20"/>
        </w:rPr>
      </w:pPr>
      <w:r>
        <w:rPr>
          <w:rFonts w:ascii="Verdana" w:hAnsi="Verdana"/>
          <w:sz w:val="20"/>
          <w:szCs w:val="20"/>
        </w:rPr>
        <w:t>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διζήσεως ή  διαιρέσεως ,</w:t>
      </w:r>
    </w:p>
    <w:p w14:paraId="4AE75070">
      <w:pPr>
        <w:jc w:val="both"/>
        <w:rPr>
          <w:rFonts w:ascii="Verdana" w:hAnsi="Verdana"/>
          <w:sz w:val="20"/>
          <w:szCs w:val="20"/>
        </w:rPr>
      </w:pPr>
      <w:r>
        <w:rPr>
          <w:rFonts w:ascii="Verdana" w:hAnsi="Verdana"/>
          <w:sz w:val="20"/>
          <w:szCs w:val="20"/>
        </w:rPr>
        <w:t>7. Βεβαίωση φορολογικής ενημερότητας,</w:t>
      </w:r>
    </w:p>
    <w:p w14:paraId="2C871ED5">
      <w:pPr>
        <w:jc w:val="both"/>
        <w:rPr>
          <w:rFonts w:ascii="Verdana" w:hAnsi="Verdana"/>
          <w:sz w:val="20"/>
          <w:szCs w:val="20"/>
        </w:rPr>
      </w:pPr>
      <w:r>
        <w:rPr>
          <w:rFonts w:ascii="Verdana" w:hAnsi="Verdana"/>
          <w:sz w:val="20"/>
          <w:szCs w:val="20"/>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14:paraId="272D69C3">
      <w:pPr>
        <w:jc w:val="both"/>
        <w:rPr>
          <w:rFonts w:ascii="Verdana" w:hAnsi="Verdana"/>
          <w:sz w:val="20"/>
          <w:szCs w:val="20"/>
        </w:rPr>
      </w:pPr>
      <w:r>
        <w:rPr>
          <w:rFonts w:ascii="Verdana" w:hAnsi="Verdana"/>
          <w:sz w:val="20"/>
          <w:szCs w:val="20"/>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14:paraId="70F1ADB5">
      <w:pPr>
        <w:jc w:val="both"/>
        <w:rPr>
          <w:rFonts w:ascii="Verdana" w:hAnsi="Verdana"/>
          <w:sz w:val="20"/>
          <w:szCs w:val="20"/>
          <w:shd w:val="clear" w:color="auto" w:fill="FFFF00"/>
        </w:rPr>
      </w:pPr>
      <w:r>
        <w:rPr>
          <w:rFonts w:ascii="Verdana" w:hAnsi="Verdana"/>
          <w:sz w:val="20"/>
          <w:szCs w:val="20"/>
        </w:rPr>
        <w:t xml:space="preserve">10. Εγγυητική επιστολή συμμετοχής στη δημοπρασία, ποσού ίσου προς το ένα δέκατο (1/10) του οριζόμενου ελαχίστου ορίου πρώτης προσφοράς της διακήρυξης, </w:t>
      </w:r>
      <w:r>
        <w:rPr>
          <w:rFonts w:ascii="Verdana" w:hAnsi="Verdana"/>
          <w:b/>
          <w:bCs/>
          <w:sz w:val="20"/>
          <w:szCs w:val="20"/>
          <w:shd w:val="clear" w:color="auto" w:fill="FFFF00"/>
        </w:rPr>
        <w:t xml:space="preserve">ήτοι </w:t>
      </w:r>
      <w:r>
        <w:rPr>
          <w:rFonts w:hint="default" w:ascii="Verdana" w:hAnsi="Verdana"/>
          <w:b/>
          <w:bCs/>
          <w:sz w:val="20"/>
          <w:szCs w:val="20"/>
          <w:shd w:val="clear" w:color="auto" w:fill="FFFF00"/>
          <w:lang w:val="el-GR"/>
        </w:rPr>
        <w:t>660</w:t>
      </w:r>
      <w:r>
        <w:rPr>
          <w:rFonts w:ascii="Verdana" w:hAnsi="Verdana"/>
          <w:b/>
          <w:bCs/>
          <w:sz w:val="20"/>
          <w:szCs w:val="20"/>
          <w:shd w:val="clear" w:color="auto" w:fill="FFFF00"/>
        </w:rPr>
        <w:t>,00  €</w:t>
      </w:r>
      <w:r>
        <w:rPr>
          <w:rFonts w:ascii="Verdana" w:hAnsi="Verdana"/>
          <w:sz w:val="20"/>
          <w:szCs w:val="20"/>
          <w:shd w:val="clear" w:color="auto" w:fill="FFFF00"/>
        </w:rPr>
        <w:t xml:space="preserve"> </w:t>
      </w:r>
    </w:p>
    <w:p w14:paraId="31189152">
      <w:pPr>
        <w:jc w:val="both"/>
        <w:rPr>
          <w:rFonts w:ascii="Verdana" w:hAnsi="Verdana"/>
          <w:sz w:val="20"/>
          <w:szCs w:val="20"/>
        </w:rPr>
      </w:pPr>
      <w:r>
        <w:rPr>
          <w:rFonts w:ascii="Verdana" w:hAnsi="Verdana"/>
          <w:b/>
          <w:sz w:val="20"/>
          <w:szCs w:val="20"/>
          <w:shd w:val="clear" w:color="auto" w:fill="FFFF00"/>
        </w:rPr>
        <w:t>(</w:t>
      </w:r>
      <w:r>
        <w:rPr>
          <w:rFonts w:hint="default" w:ascii="Verdana" w:hAnsi="Verdana"/>
          <w:b/>
          <w:sz w:val="20"/>
          <w:szCs w:val="20"/>
          <w:shd w:val="clear" w:color="auto" w:fill="FFFF00"/>
          <w:lang w:val="el-GR"/>
        </w:rPr>
        <w:t>550,00</w:t>
      </w:r>
      <w:r>
        <w:rPr>
          <w:rFonts w:ascii="Verdana" w:hAnsi="Verdana"/>
          <w:b/>
          <w:sz w:val="20"/>
          <w:szCs w:val="20"/>
          <w:shd w:val="clear" w:color="auto" w:fill="FFFF00"/>
        </w:rPr>
        <w:t xml:space="preserve"> € χ 12 μήνες =  </w:t>
      </w:r>
      <w:r>
        <w:rPr>
          <w:rFonts w:hint="default" w:ascii="Verdana" w:hAnsi="Verdana"/>
          <w:b/>
          <w:sz w:val="20"/>
          <w:szCs w:val="20"/>
          <w:shd w:val="clear" w:color="auto" w:fill="FFFF00"/>
          <w:lang w:val="el-GR"/>
        </w:rPr>
        <w:t xml:space="preserve">6.600,00 </w:t>
      </w:r>
      <w:r>
        <w:rPr>
          <w:rFonts w:ascii="Verdana" w:hAnsi="Verdana"/>
          <w:b/>
          <w:sz w:val="20"/>
          <w:szCs w:val="20"/>
          <w:shd w:val="clear" w:color="auto" w:fill="FFFF00"/>
        </w:rPr>
        <w:t>€ χ 10%)</w:t>
      </w:r>
    </w:p>
    <w:p w14:paraId="18C80F47">
      <w:pPr>
        <w:jc w:val="both"/>
        <w:rPr>
          <w:rFonts w:ascii="Verdana" w:hAnsi="Verdana"/>
          <w:sz w:val="20"/>
          <w:szCs w:val="20"/>
        </w:rPr>
      </w:pPr>
      <w:r>
        <w:rPr>
          <w:rFonts w:ascii="Verdana" w:hAnsi="Verdana"/>
          <w:sz w:val="20"/>
          <w:szCs w:val="20"/>
        </w:rPr>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14:paraId="204304F0">
      <w:pPr>
        <w:jc w:val="both"/>
        <w:rPr>
          <w:rFonts w:ascii="Verdana" w:hAnsi="Verdana"/>
          <w:sz w:val="20"/>
          <w:szCs w:val="20"/>
        </w:rPr>
      </w:pPr>
      <w:r>
        <w:rPr>
          <w:rFonts w:ascii="Verdana" w:hAnsi="Verdana"/>
          <w:sz w:val="20"/>
          <w:szCs w:val="20"/>
        </w:rPr>
        <w:t>γνησίου της υπογραφής του νομίμου εκπροσώπου , από την αρμόδια κατά τον νόμο αρχή,</w:t>
      </w:r>
    </w:p>
    <w:p w14:paraId="7C498274">
      <w:pPr>
        <w:jc w:val="both"/>
        <w:rPr>
          <w:rFonts w:ascii="Verdana" w:hAnsi="Verdana"/>
          <w:sz w:val="20"/>
          <w:szCs w:val="20"/>
        </w:rPr>
      </w:pPr>
      <w:r>
        <w:rPr>
          <w:rFonts w:ascii="Verdana" w:hAnsi="Verdana"/>
          <w:sz w:val="20"/>
          <w:szCs w:val="20"/>
        </w:rPr>
        <w:t xml:space="preserve"> 12. Υπεύθυνη δήλωση του Ν. 1599/86, με θεωρημένο το γνήσιο της υπογραφής στην οποία θα αναφέρεται ότι δεν έχει αποκλειστεί από διαγωνισμό δημοσίου.</w:t>
      </w:r>
    </w:p>
    <w:p w14:paraId="5C8994D5">
      <w:pPr>
        <w:jc w:val="both"/>
        <w:rPr>
          <w:rFonts w:ascii="Verdana" w:hAnsi="Verdana"/>
          <w:sz w:val="20"/>
          <w:szCs w:val="20"/>
        </w:rPr>
      </w:pPr>
      <w:r>
        <w:rPr>
          <w:rFonts w:ascii="Verdana" w:hAnsi="Verdana"/>
          <w:sz w:val="20"/>
          <w:szCs w:val="20"/>
        </w:rPr>
        <w:t xml:space="preserve">Όταν στην πρόσκληση συμμετέχει </w:t>
      </w:r>
      <w:r>
        <w:rPr>
          <w:rFonts w:ascii="Verdana" w:hAnsi="Verdana"/>
          <w:b/>
          <w:bCs/>
          <w:sz w:val="20"/>
          <w:szCs w:val="20"/>
        </w:rPr>
        <w:t xml:space="preserve">εταιρεία : </w:t>
      </w:r>
    </w:p>
    <w:p w14:paraId="3EF5F63C">
      <w:pPr>
        <w:jc w:val="both"/>
        <w:rPr>
          <w:rFonts w:ascii="Verdana" w:hAnsi="Verdana"/>
          <w:sz w:val="20"/>
          <w:szCs w:val="20"/>
        </w:rPr>
      </w:pPr>
      <w:r>
        <w:rPr>
          <w:rFonts w:ascii="Verdana" w:hAnsi="Verdana"/>
          <w:sz w:val="20"/>
          <w:szCs w:val="20"/>
        </w:rPr>
        <w:t xml:space="preserve"> Ι)  Στο όνομα της εταιρείας θα εκδίδονται τα με αριθμούς 3,5,6,7,8,9, δικαιολογητικά</w:t>
      </w:r>
    </w:p>
    <w:p w14:paraId="6FFC0A0D">
      <w:pPr>
        <w:jc w:val="both"/>
        <w:rPr>
          <w:rFonts w:ascii="Verdana" w:hAnsi="Verdana"/>
          <w:sz w:val="20"/>
          <w:szCs w:val="20"/>
        </w:rPr>
      </w:pPr>
      <w:r>
        <w:rPr>
          <w:rFonts w:ascii="Verdana" w:hAnsi="Verdana"/>
          <w:sz w:val="20"/>
          <w:szCs w:val="20"/>
        </w:rPr>
        <w:t xml:space="preserve"> 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14:paraId="13C54AE8">
      <w:pPr>
        <w:jc w:val="both"/>
        <w:rPr>
          <w:rFonts w:ascii="Verdana" w:hAnsi="Verdana"/>
          <w:sz w:val="20"/>
          <w:szCs w:val="20"/>
        </w:rPr>
      </w:pPr>
      <w:r>
        <w:rPr>
          <w:rFonts w:ascii="Verdana" w:hAnsi="Verdana"/>
          <w:sz w:val="20"/>
          <w:szCs w:val="20"/>
        </w:rPr>
        <w:t xml:space="preserve"> ΙΙΙ) Στο όνομα ενός εκ των ομόρρυθμων εταίρων ως νόμιμος εκπρόσωπος  της  επιχείρισης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14:paraId="7216FA81">
      <w:pPr>
        <w:jc w:val="both"/>
        <w:rPr>
          <w:rFonts w:ascii="Verdana" w:hAnsi="Verdana"/>
          <w:sz w:val="20"/>
          <w:szCs w:val="20"/>
        </w:rPr>
      </w:pPr>
      <w:r>
        <w:rPr>
          <w:rFonts w:ascii="Verdana" w:hAnsi="Verdana"/>
          <w:sz w:val="20"/>
          <w:szCs w:val="20"/>
        </w:rPr>
        <w:t xml:space="preserve"> Ι</w:t>
      </w:r>
      <w:r>
        <w:rPr>
          <w:rFonts w:ascii="Verdana" w:hAnsi="Verdana"/>
          <w:sz w:val="20"/>
          <w:szCs w:val="20"/>
          <w:lang w:val="en-US"/>
        </w:rPr>
        <w:t>V</w:t>
      </w:r>
      <w:r>
        <w:rPr>
          <w:rFonts w:ascii="Verdana" w:hAnsi="Verdana"/>
          <w:sz w:val="20"/>
          <w:szCs w:val="20"/>
        </w:rPr>
        <w:t>)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πιστοποιτικό του Γ.Ε.ΜΗ. που  θα αναφέρεται η σύσταση και οι τροποποιήσεις.</w:t>
      </w:r>
    </w:p>
    <w:p w14:paraId="6B2FDEB0">
      <w:pPr>
        <w:jc w:val="both"/>
        <w:rPr>
          <w:rFonts w:ascii="Verdana" w:hAnsi="Verdana"/>
          <w:sz w:val="20"/>
          <w:szCs w:val="20"/>
        </w:rPr>
      </w:pPr>
      <w:r>
        <w:rPr>
          <w:rFonts w:ascii="Verdana" w:hAnsi="Verdana"/>
          <w:sz w:val="20"/>
          <w:szCs w:val="20"/>
          <w:lang w:val="en-US"/>
        </w:rPr>
        <w:t>V</w:t>
      </w:r>
      <w:r>
        <w:rPr>
          <w:rFonts w:ascii="Verdana" w:hAnsi="Verdana"/>
          <w:sz w:val="20"/>
          <w:szCs w:val="20"/>
        </w:rPr>
        <w:t>) Οι  κεφαλαιουχικές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14:paraId="4684695B">
      <w:pPr>
        <w:jc w:val="both"/>
        <w:rPr>
          <w:rFonts w:ascii="Verdana" w:hAnsi="Verdana"/>
          <w:sz w:val="20"/>
          <w:szCs w:val="20"/>
        </w:rPr>
      </w:pPr>
      <w:r>
        <w:rPr>
          <w:rFonts w:ascii="Verdana" w:hAnsi="Verdana"/>
          <w:sz w:val="20"/>
          <w:szCs w:val="20"/>
        </w:rPr>
        <w:t>Τα συμμετέχοντα από κοινού φυσικά ή νομικά πρόσωπα ευθύνονται αλληλεγγύως και σε ολόκληρο.</w:t>
      </w:r>
    </w:p>
    <w:p w14:paraId="71522D7D">
      <w:pPr>
        <w:jc w:val="both"/>
        <w:rPr>
          <w:rFonts w:ascii="Verdana" w:hAnsi="Verdana"/>
          <w:sz w:val="20"/>
          <w:szCs w:val="20"/>
        </w:rPr>
      </w:pPr>
      <w:r>
        <w:rPr>
          <w:rFonts w:ascii="Verdana" w:hAnsi="Verdana"/>
          <w:sz w:val="20"/>
          <w:szCs w:val="20"/>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14:paraId="3AB563AD">
      <w:pPr>
        <w:jc w:val="both"/>
        <w:rPr>
          <w:rFonts w:ascii="Verdana" w:hAnsi="Verdana"/>
          <w:sz w:val="20"/>
          <w:szCs w:val="20"/>
        </w:rPr>
      </w:pPr>
      <w:r>
        <w:rPr>
          <w:rFonts w:ascii="Verdana" w:hAnsi="Verdana"/>
          <w:sz w:val="20"/>
          <w:szCs w:val="20"/>
        </w:rPr>
        <w:t>Επίσης, αποκλείονται από την διαδικασία επιλογής όσοι έχουν καταδικαστεί :</w:t>
      </w:r>
    </w:p>
    <w:p w14:paraId="43013D66">
      <w:pPr>
        <w:jc w:val="both"/>
        <w:rPr>
          <w:rFonts w:ascii="Verdana" w:hAnsi="Verdana"/>
          <w:sz w:val="20"/>
          <w:szCs w:val="20"/>
        </w:rPr>
      </w:pPr>
      <w:r>
        <w:rPr>
          <w:rFonts w:ascii="Verdana" w:hAnsi="Verdana"/>
          <w:sz w:val="20"/>
          <w:szCs w:val="20"/>
        </w:rPr>
        <w:t xml:space="preserve"> α) για κλοπή, υπεξαίρεση, απάτη, απιστία , εκβίαση, πλαστογραφία, δωροδοκία, νομιμοποίηση εσόδων από παράνομες δραστηριότητες ,</w:t>
      </w:r>
    </w:p>
    <w:p w14:paraId="4D20A5D6">
      <w:pPr>
        <w:jc w:val="both"/>
        <w:rPr>
          <w:rFonts w:ascii="Verdana" w:hAnsi="Verdana"/>
          <w:sz w:val="20"/>
          <w:szCs w:val="20"/>
        </w:rPr>
      </w:pPr>
      <w:r>
        <w:rPr>
          <w:rFonts w:ascii="Verdana" w:hAnsi="Verdana"/>
          <w:sz w:val="20"/>
          <w:szCs w:val="20"/>
        </w:rPr>
        <w:t xml:space="preserve"> β) για παραβίαση των διατάξεων των νόμων περί ηθών και λεσχών,</w:t>
      </w:r>
    </w:p>
    <w:p w14:paraId="1ADF094C">
      <w:pPr>
        <w:jc w:val="both"/>
        <w:rPr>
          <w:rFonts w:ascii="Verdana" w:hAnsi="Verdana"/>
          <w:sz w:val="20"/>
          <w:szCs w:val="20"/>
        </w:rPr>
      </w:pPr>
      <w:r>
        <w:rPr>
          <w:rFonts w:ascii="Verdana" w:hAnsi="Verdana"/>
          <w:sz w:val="20"/>
          <w:szCs w:val="20"/>
        </w:rPr>
        <w:t xml:space="preserve"> 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14:paraId="137F6572">
      <w:pPr>
        <w:jc w:val="both"/>
        <w:rPr>
          <w:rFonts w:ascii="Verdana" w:hAnsi="Verdana"/>
          <w:sz w:val="20"/>
          <w:szCs w:val="20"/>
        </w:rPr>
      </w:pPr>
      <w:r>
        <w:rPr>
          <w:rFonts w:ascii="Verdana" w:hAnsi="Verdana"/>
          <w:sz w:val="20"/>
          <w:szCs w:val="20"/>
        </w:rPr>
        <w:t xml:space="preserve"> δ) για παράβαση της περί ναρκωτικών νομοθεσίας και </w:t>
      </w:r>
    </w:p>
    <w:p w14:paraId="66392080">
      <w:pPr>
        <w:jc w:val="both"/>
        <w:rPr>
          <w:rFonts w:ascii="Verdana" w:hAnsi="Verdana"/>
          <w:sz w:val="20"/>
          <w:szCs w:val="20"/>
        </w:rPr>
      </w:pPr>
      <w:r>
        <w:rPr>
          <w:rFonts w:ascii="Verdana" w:hAnsi="Verdana"/>
          <w:sz w:val="20"/>
          <w:szCs w:val="20"/>
        </w:rPr>
        <w:t xml:space="preserve"> 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14:paraId="5B911B97">
      <w:pPr>
        <w:jc w:val="both"/>
        <w:rPr>
          <w:rFonts w:ascii="Verdana" w:hAnsi="Verdana"/>
          <w:sz w:val="20"/>
          <w:szCs w:val="20"/>
        </w:rPr>
      </w:pPr>
      <w:r>
        <w:rPr>
          <w:rFonts w:ascii="Verdana" w:hAnsi="Verdana"/>
          <w:sz w:val="20"/>
          <w:szCs w:val="20"/>
        </w:rPr>
        <w:t xml:space="preserve"> στ)  όσοι έχουν ληξιπρόθεσμες  οφειλές στον Δήμο  Λεβαδέων, τις οποίες δεν έχουν ρυθμίσει ή αν τις έχουν, δεν ανταποκρίνονται στις υποχρεώσεις αυτές που απορρέουν από την ρύθμιση αυτή.</w:t>
      </w:r>
    </w:p>
    <w:p w14:paraId="61352366">
      <w:pPr>
        <w:jc w:val="both"/>
        <w:rPr>
          <w:rFonts w:ascii="Verdana" w:hAnsi="Verdana"/>
          <w:sz w:val="20"/>
          <w:szCs w:val="20"/>
        </w:rPr>
      </w:pPr>
    </w:p>
    <w:p w14:paraId="018A512A">
      <w:pPr>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Άρθρο  6 </w:t>
      </w:r>
    </w:p>
    <w:p w14:paraId="518D8E1A">
      <w:pPr>
        <w:jc w:val="both"/>
        <w:rPr>
          <w:rFonts w:ascii="Verdana" w:hAnsi="Verdana"/>
          <w:b/>
          <w:bCs/>
          <w:sz w:val="20"/>
          <w:szCs w:val="20"/>
        </w:rPr>
      </w:pPr>
      <w:r>
        <w:rPr>
          <w:rFonts w:ascii="Verdana" w:hAnsi="Verdana"/>
          <w:b/>
          <w:bCs/>
          <w:sz w:val="20"/>
          <w:szCs w:val="20"/>
        </w:rPr>
        <w:t xml:space="preserve">                                           Ελάχιστο όριο της προσφοράς</w:t>
      </w:r>
    </w:p>
    <w:p w14:paraId="496D472D">
      <w:pPr>
        <w:jc w:val="both"/>
        <w:rPr>
          <w:rFonts w:ascii="Verdana" w:hAnsi="Verdana"/>
          <w:sz w:val="20"/>
          <w:szCs w:val="20"/>
        </w:rPr>
      </w:pPr>
      <w:r>
        <w:rPr>
          <w:rFonts w:ascii="Verdana" w:hAnsi="Verdana"/>
          <w:sz w:val="20"/>
          <w:szCs w:val="20"/>
        </w:rPr>
        <w:t>Για τον καθορισμό της τιμής εκκίνησης του καταβλητέου μισθώματος , λαμβάνεται υπόψη κάθε στοιχείο προσδιοριστικό της αξίας της θέσης του περιπτέρου και ιδίως τα κυκλοφοριακά δεδομένα, η εμπορικότητα των οδών και η δυνατότητα περαιτέρω παραχώρησης του περιβάλλοντος κοινόχρηστου χώρου για την ανάπτυξη της οικονομικής του δραστηριότητας .</w:t>
      </w:r>
    </w:p>
    <w:p w14:paraId="10348B9A">
      <w:pPr>
        <w:jc w:val="both"/>
        <w:rPr>
          <w:rFonts w:ascii="Verdana" w:hAnsi="Verdana"/>
          <w:sz w:val="20"/>
          <w:szCs w:val="20"/>
        </w:rPr>
      </w:pPr>
      <w:r>
        <w:rPr>
          <w:rFonts w:ascii="Verdana" w:hAnsi="Verdana"/>
          <w:sz w:val="20"/>
          <w:szCs w:val="20"/>
        </w:rPr>
        <w:t xml:space="preserve">Κατώτατο όριο προσφοράς (τιμή εκκίνησης) για την δημοπρατούμενη θέση περιπτέρου, </w:t>
      </w:r>
      <w:r>
        <w:rPr>
          <w:rFonts w:ascii="Verdana" w:hAnsi="Verdana"/>
          <w:b/>
          <w:bCs/>
          <w:sz w:val="20"/>
          <w:szCs w:val="20"/>
          <w:shd w:val="clear" w:color="auto" w:fill="FFFF00"/>
        </w:rPr>
        <w:t xml:space="preserve">ανά μήνα, </w:t>
      </w:r>
      <w:r>
        <w:rPr>
          <w:rFonts w:ascii="Verdana" w:hAnsi="Verdana"/>
          <w:sz w:val="20"/>
          <w:szCs w:val="20"/>
          <w:shd w:val="clear" w:color="auto" w:fill="FFFF00"/>
        </w:rPr>
        <w:t xml:space="preserve">ορίζεται το ποσό των ευρώ </w:t>
      </w:r>
      <w:r>
        <w:rPr>
          <w:rFonts w:hint="default" w:ascii="Verdana" w:hAnsi="Verdana"/>
          <w:sz w:val="20"/>
          <w:szCs w:val="20"/>
          <w:shd w:val="clear" w:color="auto" w:fill="FFFF00"/>
          <w:lang w:val="el-GR"/>
        </w:rPr>
        <w:t xml:space="preserve"> </w:t>
      </w:r>
      <w:r>
        <w:rPr>
          <w:rFonts w:hint="default" w:ascii="Verdana" w:hAnsi="Verdana"/>
          <w:b/>
          <w:bCs/>
          <w:sz w:val="20"/>
          <w:szCs w:val="20"/>
          <w:shd w:val="clear" w:color="auto" w:fill="FFFF00"/>
          <w:lang w:val="el-GR"/>
        </w:rPr>
        <w:t>550,00</w:t>
      </w:r>
      <w:r>
        <w:rPr>
          <w:rFonts w:hint="default" w:ascii="Verdana" w:hAnsi="Verdana"/>
          <w:sz w:val="20"/>
          <w:szCs w:val="20"/>
          <w:shd w:val="clear" w:color="auto" w:fill="FFFF00"/>
          <w:lang w:val="el-GR"/>
        </w:rPr>
        <w:t xml:space="preserve"> </w:t>
      </w:r>
      <w:r>
        <w:rPr>
          <w:rFonts w:ascii="Verdana" w:hAnsi="Verdana"/>
          <w:b/>
          <w:bCs/>
          <w:sz w:val="20"/>
          <w:szCs w:val="20"/>
          <w:shd w:val="clear" w:color="auto" w:fill="FFFF00"/>
        </w:rPr>
        <w:t>ευρώ/μηνιαίως,</w:t>
      </w:r>
      <w:r>
        <w:rPr>
          <w:rFonts w:ascii="Verdana" w:hAnsi="Verdana"/>
          <w:sz w:val="20"/>
          <w:szCs w:val="20"/>
          <w:shd w:val="clear" w:color="auto" w:fill="FFFF00"/>
        </w:rPr>
        <w:t xml:space="preserve"> </w:t>
      </w:r>
      <w:r>
        <w:rPr>
          <w:rFonts w:ascii="Verdana" w:hAnsi="Verdana"/>
          <w:b/>
          <w:sz w:val="20"/>
          <w:szCs w:val="20"/>
          <w:shd w:val="clear" w:color="auto" w:fill="FFFF00"/>
        </w:rPr>
        <w:t xml:space="preserve">ήτοι </w:t>
      </w:r>
      <w:r>
        <w:rPr>
          <w:rFonts w:hint="default" w:ascii="Verdana" w:hAnsi="Verdana"/>
          <w:b/>
          <w:sz w:val="20"/>
          <w:szCs w:val="20"/>
          <w:shd w:val="clear" w:color="auto" w:fill="FFFF00"/>
          <w:lang w:val="el-GR"/>
        </w:rPr>
        <w:t xml:space="preserve">  6.600,00</w:t>
      </w:r>
      <w:r>
        <w:rPr>
          <w:rFonts w:ascii="Verdana" w:hAnsi="Verdana"/>
          <w:b/>
          <w:sz w:val="20"/>
          <w:szCs w:val="20"/>
          <w:shd w:val="clear" w:color="auto" w:fill="FFFF00"/>
        </w:rPr>
        <w:t xml:space="preserve"> </w:t>
      </w:r>
      <w:r>
        <w:rPr>
          <w:rFonts w:ascii="Verdana" w:hAnsi="Verdana"/>
          <w:b/>
          <w:bCs/>
          <w:sz w:val="20"/>
          <w:szCs w:val="20"/>
          <w:shd w:val="clear" w:color="auto" w:fill="FFFF00"/>
        </w:rPr>
        <w:t xml:space="preserve"> ευρώ/ετησίως</w:t>
      </w:r>
      <w:r>
        <w:rPr>
          <w:rFonts w:ascii="Verdana" w:hAnsi="Verdana"/>
          <w:sz w:val="20"/>
          <w:szCs w:val="20"/>
          <w:shd w:val="clear" w:color="auto" w:fill="FFFF00"/>
        </w:rPr>
        <w:t>.</w:t>
      </w:r>
    </w:p>
    <w:p w14:paraId="1B403EB4">
      <w:pPr>
        <w:jc w:val="both"/>
        <w:rPr>
          <w:rFonts w:ascii="Verdana" w:hAnsi="Verdana"/>
          <w:sz w:val="20"/>
          <w:szCs w:val="20"/>
        </w:rPr>
      </w:pPr>
      <w:r>
        <w:rPr>
          <w:rFonts w:ascii="Verdana" w:hAnsi="Verdana"/>
          <w:sz w:val="20"/>
          <w:szCs w:val="20"/>
        </w:rPr>
        <w:t>Κάθε προσφορά οφείλει να είναι κατά 10,00€ τουλάχιστον μεγαλύτερη της προηγούμενη και είναι δεσμευτική για τον υποψήφιο πλειοδότη, η δέσμευση δε αυτή δεν μεταβαίνει αλληλοδιαδόχως από τον πρώτο στους ακόλουθους και επιβαρύνει οριστικά τον τελευταίο πλειοδότη.</w:t>
      </w:r>
    </w:p>
    <w:p w14:paraId="0DAD31E8">
      <w:pPr>
        <w:jc w:val="both"/>
        <w:rPr>
          <w:rFonts w:ascii="Verdana" w:hAnsi="Verdana"/>
          <w:sz w:val="20"/>
          <w:szCs w:val="20"/>
        </w:rPr>
      </w:pPr>
      <w:bookmarkStart w:id="0" w:name="_GoBack"/>
      <w:bookmarkEnd w:id="0"/>
      <w:r>
        <w:rPr>
          <w:rFonts w:ascii="Verdana" w:hAnsi="Verdana"/>
          <w:sz w:val="20"/>
          <w:szCs w:val="20"/>
        </w:rPr>
        <w:t xml:space="preserve">   </w:t>
      </w:r>
    </w:p>
    <w:p w14:paraId="5FD5F5AA">
      <w:pPr>
        <w:jc w:val="both"/>
        <w:rPr>
          <w:rFonts w:ascii="Verdana" w:hAnsi="Verdana"/>
          <w:sz w:val="20"/>
          <w:szCs w:val="20"/>
        </w:rPr>
      </w:pPr>
      <w:r>
        <w:rPr>
          <w:rFonts w:ascii="Verdana" w:hAnsi="Verdana"/>
          <w:sz w:val="20"/>
          <w:szCs w:val="20"/>
        </w:rPr>
        <w:t xml:space="preserve">                                                                                                                                                                           </w:t>
      </w:r>
    </w:p>
    <w:p w14:paraId="0C453E93">
      <w:pPr>
        <w:jc w:val="center"/>
        <w:rPr>
          <w:rFonts w:ascii="Verdana" w:hAnsi="Verdana"/>
          <w:sz w:val="20"/>
          <w:szCs w:val="20"/>
        </w:rPr>
      </w:pPr>
      <w:r>
        <w:rPr>
          <w:rFonts w:ascii="Verdana" w:hAnsi="Verdana"/>
          <w:b/>
          <w:bCs/>
          <w:sz w:val="20"/>
          <w:szCs w:val="20"/>
        </w:rPr>
        <w:t>Άρθρο 7</w:t>
      </w:r>
    </w:p>
    <w:p w14:paraId="1FAEC291">
      <w:pPr>
        <w:jc w:val="center"/>
        <w:rPr>
          <w:rFonts w:ascii="Verdana" w:hAnsi="Verdana"/>
          <w:b/>
          <w:bCs/>
          <w:sz w:val="20"/>
          <w:szCs w:val="20"/>
        </w:rPr>
      </w:pPr>
      <w:r>
        <w:rPr>
          <w:rFonts w:ascii="Verdana" w:hAnsi="Verdana"/>
          <w:b/>
          <w:bCs/>
          <w:sz w:val="20"/>
          <w:szCs w:val="20"/>
        </w:rPr>
        <w:t>Εγγυητής</w:t>
      </w:r>
    </w:p>
    <w:p w14:paraId="7983C249">
      <w:pPr>
        <w:jc w:val="both"/>
        <w:rPr>
          <w:rFonts w:ascii="Verdana" w:hAnsi="Verdana"/>
          <w:sz w:val="20"/>
          <w:szCs w:val="20"/>
        </w:rPr>
      </w:pPr>
      <w:r>
        <w:rPr>
          <w:rFonts w:ascii="Verdana" w:hAnsi="Verdana"/>
          <w:sz w:val="20"/>
          <w:szCs w:val="20"/>
        </w:rPr>
        <w:t>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ολόκληρον υπεύθυνος με αυτόν για την εκπλήρωση των όρων της σύμβασης.</w:t>
      </w:r>
    </w:p>
    <w:p w14:paraId="1BAA7E07">
      <w:pPr>
        <w:jc w:val="both"/>
        <w:rPr>
          <w:rFonts w:ascii="Verdana" w:hAnsi="Verdana"/>
          <w:sz w:val="20"/>
          <w:szCs w:val="20"/>
        </w:rPr>
      </w:pPr>
      <w:r>
        <w:rPr>
          <w:rFonts w:ascii="Verdana" w:hAnsi="Verdana"/>
          <w:sz w:val="20"/>
          <w:szCs w:val="20"/>
        </w:rPr>
        <w:t>Σε περίπτωση δε θανάτου του εγγυητή , ο δικαιούχος υποχρεούται σε διάστημα ενός (1) μηνός να ορίσει νέο εγγυητή , του οποίου το αξιόχρεο θα ελέγξει η Δημοτική Επιτροπή.</w:t>
      </w:r>
    </w:p>
    <w:p w14:paraId="7BE45F3D">
      <w:pPr>
        <w:jc w:val="both"/>
        <w:rPr>
          <w:rFonts w:ascii="Verdana" w:hAnsi="Verdana"/>
          <w:sz w:val="20"/>
          <w:szCs w:val="20"/>
        </w:rPr>
      </w:pPr>
      <w:r>
        <w:rPr>
          <w:rFonts w:ascii="Verdana" w:hAnsi="Verdana"/>
          <w:sz w:val="20"/>
          <w:szCs w:val="20"/>
        </w:rPr>
        <w:t xml:space="preserve">                                                                    </w:t>
      </w:r>
    </w:p>
    <w:p w14:paraId="55F1B5DA">
      <w:pPr>
        <w:jc w:val="both"/>
        <w:rPr>
          <w:rFonts w:ascii="Verdana" w:hAnsi="Verdana"/>
          <w:sz w:val="20"/>
          <w:szCs w:val="20"/>
        </w:rPr>
      </w:pPr>
    </w:p>
    <w:p w14:paraId="6E2BEA24">
      <w:pPr>
        <w:jc w:val="center"/>
        <w:rPr>
          <w:rFonts w:ascii="Verdana" w:hAnsi="Verdana"/>
          <w:sz w:val="20"/>
          <w:szCs w:val="20"/>
        </w:rPr>
      </w:pPr>
      <w:r>
        <w:rPr>
          <w:rFonts w:ascii="Verdana" w:hAnsi="Verdana"/>
          <w:b/>
          <w:bCs/>
          <w:sz w:val="20"/>
          <w:szCs w:val="20"/>
        </w:rPr>
        <w:t>Άρθρο 8</w:t>
      </w:r>
    </w:p>
    <w:p w14:paraId="49BC130F">
      <w:pPr>
        <w:jc w:val="center"/>
        <w:rPr>
          <w:rFonts w:ascii="Verdana" w:hAnsi="Verdana"/>
          <w:b/>
          <w:bCs/>
          <w:sz w:val="20"/>
          <w:szCs w:val="20"/>
        </w:rPr>
      </w:pPr>
      <w:r>
        <w:rPr>
          <w:rFonts w:ascii="Verdana" w:hAnsi="Verdana"/>
          <w:b/>
          <w:bCs/>
          <w:sz w:val="20"/>
          <w:szCs w:val="20"/>
        </w:rPr>
        <w:t>Δικαίωμα αποζημίωσης</w:t>
      </w:r>
    </w:p>
    <w:p w14:paraId="68D14AF4">
      <w:pPr>
        <w:jc w:val="both"/>
        <w:rPr>
          <w:rFonts w:ascii="Verdana" w:hAnsi="Verdana"/>
          <w:sz w:val="20"/>
          <w:szCs w:val="20"/>
        </w:rPr>
      </w:pPr>
      <w:r>
        <w:rPr>
          <w:rFonts w:ascii="Verdana" w:hAnsi="Verdana"/>
          <w:sz w:val="20"/>
          <w:szCs w:val="20"/>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14:paraId="48D20C34">
      <w:pPr>
        <w:jc w:val="both"/>
        <w:rPr>
          <w:rFonts w:ascii="Verdana" w:hAnsi="Verdana"/>
          <w:sz w:val="20"/>
          <w:szCs w:val="20"/>
        </w:rPr>
      </w:pPr>
    </w:p>
    <w:p w14:paraId="24EDB6E4">
      <w:pPr>
        <w:jc w:val="center"/>
        <w:rPr>
          <w:rFonts w:ascii="Verdana" w:hAnsi="Verdana"/>
          <w:sz w:val="20"/>
          <w:szCs w:val="20"/>
        </w:rPr>
      </w:pPr>
      <w:r>
        <w:rPr>
          <w:rFonts w:ascii="Verdana" w:hAnsi="Verdana"/>
          <w:b/>
          <w:bCs/>
          <w:sz w:val="20"/>
          <w:szCs w:val="20"/>
        </w:rPr>
        <w:t>Άρθρο 9</w:t>
      </w:r>
    </w:p>
    <w:p w14:paraId="5D72D727">
      <w:pPr>
        <w:jc w:val="center"/>
        <w:rPr>
          <w:rFonts w:ascii="Verdana" w:hAnsi="Verdana"/>
          <w:b/>
          <w:bCs/>
          <w:sz w:val="20"/>
          <w:szCs w:val="20"/>
        </w:rPr>
      </w:pPr>
      <w:r>
        <w:rPr>
          <w:rFonts w:ascii="Verdana" w:hAnsi="Verdana"/>
          <w:b/>
          <w:bCs/>
          <w:sz w:val="20"/>
          <w:szCs w:val="20"/>
        </w:rPr>
        <w:t>Σύμβαση</w:t>
      </w:r>
    </w:p>
    <w:p w14:paraId="5F2B1F96">
      <w:pPr>
        <w:jc w:val="both"/>
        <w:rPr>
          <w:rFonts w:ascii="Verdana" w:hAnsi="Verdana"/>
          <w:sz w:val="20"/>
          <w:szCs w:val="20"/>
        </w:rPr>
      </w:pPr>
      <w:r>
        <w:rPr>
          <w:rFonts w:ascii="Verdana" w:hAnsi="Verdana"/>
          <w:sz w:val="20"/>
          <w:szCs w:val="20"/>
        </w:rPr>
        <w:t xml:space="preserve">Ο τελευταίος πλειοδότης υποχρεούται όπως </w:t>
      </w:r>
      <w:r>
        <w:rPr>
          <w:rFonts w:ascii="Verdana" w:hAnsi="Verdana"/>
          <w:b/>
          <w:bCs/>
          <w:sz w:val="20"/>
          <w:szCs w:val="20"/>
        </w:rPr>
        <w:t xml:space="preserve">εντός δέκα ημερών </w:t>
      </w:r>
      <w:r>
        <w:rPr>
          <w:rFonts w:ascii="Verdana" w:hAnsi="Verdana"/>
          <w:sz w:val="20"/>
          <w:szCs w:val="20"/>
        </w:rPr>
        <w:t>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14:paraId="0F8B7C56">
      <w:pPr>
        <w:jc w:val="both"/>
        <w:rPr>
          <w:rFonts w:ascii="Verdana" w:hAnsi="Verdana"/>
          <w:sz w:val="20"/>
          <w:szCs w:val="20"/>
        </w:rPr>
      </w:pPr>
      <w:r>
        <w:rPr>
          <w:rFonts w:ascii="Verdana" w:hAnsi="Verdana"/>
          <w:sz w:val="20"/>
          <w:szCs w:val="20"/>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14:paraId="3F53F2C2">
      <w:pPr>
        <w:jc w:val="both"/>
        <w:rPr>
          <w:rFonts w:ascii="Verdana" w:hAnsi="Verdana"/>
          <w:sz w:val="20"/>
          <w:szCs w:val="20"/>
        </w:rPr>
      </w:pPr>
      <w:r>
        <w:rPr>
          <w:rFonts w:ascii="Verdana" w:hAnsi="Verdana"/>
          <w:sz w:val="20"/>
          <w:szCs w:val="20"/>
        </w:rPr>
        <w:t>Μετά το πέρας της παραπάνω προθεσμίας των δέκα ημερών η σύμβαση θεωρείται ότι καταρτίστηκε οριστικά.</w:t>
      </w:r>
    </w:p>
    <w:p w14:paraId="3D9BC33E">
      <w:pPr>
        <w:jc w:val="both"/>
        <w:rPr>
          <w:rFonts w:ascii="Verdana" w:hAnsi="Verdana"/>
          <w:b/>
          <w:bCs/>
          <w:sz w:val="20"/>
          <w:szCs w:val="20"/>
        </w:rPr>
      </w:pPr>
      <w:r>
        <w:rPr>
          <w:rFonts w:ascii="Verdana" w:hAnsi="Verdana"/>
          <w:b/>
          <w:bCs/>
          <w:sz w:val="20"/>
          <w:szCs w:val="20"/>
        </w:rPr>
        <w:t xml:space="preserve">                                                    </w:t>
      </w:r>
    </w:p>
    <w:p w14:paraId="10DF3B7A">
      <w:pPr>
        <w:jc w:val="center"/>
        <w:rPr>
          <w:rFonts w:ascii="Verdana" w:hAnsi="Verdana"/>
          <w:b/>
          <w:bCs/>
          <w:sz w:val="20"/>
          <w:szCs w:val="20"/>
        </w:rPr>
      </w:pPr>
    </w:p>
    <w:p w14:paraId="7E3D0233">
      <w:pPr>
        <w:jc w:val="center"/>
        <w:rPr>
          <w:rFonts w:ascii="Verdana" w:hAnsi="Verdana"/>
          <w:sz w:val="20"/>
          <w:szCs w:val="20"/>
        </w:rPr>
      </w:pPr>
      <w:r>
        <w:rPr>
          <w:rFonts w:ascii="Verdana" w:hAnsi="Verdana"/>
          <w:b/>
          <w:bCs/>
          <w:sz w:val="20"/>
          <w:szCs w:val="20"/>
        </w:rPr>
        <w:t>Άρθρο  10</w:t>
      </w:r>
    </w:p>
    <w:p w14:paraId="213EDEF3">
      <w:pPr>
        <w:jc w:val="center"/>
        <w:rPr>
          <w:rFonts w:ascii="Verdana" w:hAnsi="Verdana"/>
          <w:sz w:val="20"/>
          <w:szCs w:val="20"/>
        </w:rPr>
      </w:pPr>
      <w:r>
        <w:rPr>
          <w:rFonts w:ascii="Verdana" w:hAnsi="Verdana"/>
          <w:b/>
          <w:bCs/>
          <w:sz w:val="20"/>
          <w:szCs w:val="20"/>
        </w:rPr>
        <w:t>Διάρκεια εκμίσθωσης</w:t>
      </w:r>
    </w:p>
    <w:p w14:paraId="55611B11">
      <w:pPr>
        <w:jc w:val="both"/>
        <w:rPr>
          <w:rFonts w:ascii="Verdana" w:hAnsi="Verdana"/>
          <w:sz w:val="20"/>
          <w:szCs w:val="20"/>
        </w:rPr>
      </w:pPr>
      <w:r>
        <w:rPr>
          <w:rFonts w:ascii="Verdana" w:hAnsi="Verdana"/>
          <w:sz w:val="20"/>
          <w:szCs w:val="20"/>
        </w:rPr>
        <w:t xml:space="preserve">Η εκμίσθωση αρχίζει  από την επόμενη υπογραφή της σύμβασης παραχώρησης, μετά την κατακύρωση στον τελευταίο πλειοδότη  και θα διαρκέσει </w:t>
      </w:r>
      <w:r>
        <w:rPr>
          <w:rFonts w:ascii="Verdana" w:hAnsi="Verdana"/>
          <w:b/>
          <w:sz w:val="20"/>
          <w:szCs w:val="20"/>
        </w:rPr>
        <w:t>δέκα (10) έτη.</w:t>
      </w:r>
      <w:r>
        <w:rPr>
          <w:rFonts w:ascii="Verdana" w:hAnsi="Verdana"/>
          <w:sz w:val="20"/>
          <w:szCs w:val="20"/>
        </w:rPr>
        <w:t xml:space="preserve"> (Σύμφωνα με την </w:t>
      </w:r>
    </w:p>
    <w:p w14:paraId="672BF463">
      <w:pPr>
        <w:jc w:val="both"/>
        <w:rPr>
          <w:rFonts w:ascii="Verdana" w:hAnsi="Verdana"/>
          <w:b/>
          <w:bCs/>
          <w:sz w:val="20"/>
          <w:szCs w:val="20"/>
        </w:rPr>
      </w:pPr>
      <w:r>
        <w:rPr>
          <w:rFonts w:hint="default" w:ascii="Verdana" w:hAnsi="Verdana"/>
          <w:sz w:val="20"/>
          <w:szCs w:val="20"/>
          <w:lang w:val="el-GR"/>
        </w:rPr>
        <w:t>18</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Δήμου Λεβαδέων.)</w:t>
      </w:r>
    </w:p>
    <w:p w14:paraId="04BF80CB">
      <w:pPr>
        <w:jc w:val="center"/>
        <w:rPr>
          <w:rFonts w:ascii="Verdana" w:hAnsi="Verdana"/>
          <w:sz w:val="20"/>
          <w:szCs w:val="20"/>
        </w:rPr>
      </w:pPr>
      <w:r>
        <w:rPr>
          <w:rFonts w:ascii="Verdana" w:hAnsi="Verdana"/>
          <w:b/>
          <w:bCs/>
          <w:sz w:val="20"/>
          <w:szCs w:val="20"/>
        </w:rPr>
        <w:t>Άρθρο 11</w:t>
      </w:r>
    </w:p>
    <w:p w14:paraId="38D1BA0F">
      <w:pPr>
        <w:jc w:val="center"/>
        <w:rPr>
          <w:rFonts w:ascii="Verdana" w:hAnsi="Verdana"/>
          <w:sz w:val="20"/>
          <w:szCs w:val="20"/>
        </w:rPr>
      </w:pPr>
      <w:r>
        <w:rPr>
          <w:rFonts w:ascii="Verdana" w:hAnsi="Verdana"/>
          <w:b/>
          <w:bCs/>
          <w:sz w:val="20"/>
          <w:szCs w:val="20"/>
        </w:rPr>
        <w:t>Προθεσμία καταβολής και αναπροσαρμογής του Μισθώματος</w:t>
      </w:r>
    </w:p>
    <w:p w14:paraId="42D97143">
      <w:pPr>
        <w:jc w:val="both"/>
        <w:rPr>
          <w:rFonts w:ascii="Verdana" w:hAnsi="Verdana"/>
          <w:sz w:val="20"/>
          <w:szCs w:val="20"/>
        </w:rPr>
      </w:pPr>
      <w:r>
        <w:rPr>
          <w:rFonts w:ascii="Verdana" w:hAnsi="Verdana"/>
          <w:sz w:val="20"/>
          <w:szCs w:val="20"/>
        </w:rPr>
        <w:t>Το μίσθωμα θα είναι μηνιαίο και καταβάλλεται τις πρώτες πέντε ημέρες του επόμενου μήνα, στο Ταμείο του Δήμου Λεβαδέων, ενώ με την υπογραφή της σύμβασης θα καταβληθεί το μίσθωμα του πρώτου μήνα.</w:t>
      </w:r>
    </w:p>
    <w:p w14:paraId="043D5D50">
      <w:pPr>
        <w:jc w:val="both"/>
        <w:rPr>
          <w:rFonts w:ascii="Verdana" w:hAnsi="Verdana"/>
          <w:sz w:val="20"/>
          <w:szCs w:val="20"/>
          <w:highlight w:val="yellow"/>
        </w:rPr>
      </w:pPr>
      <w:r>
        <w:rPr>
          <w:rFonts w:ascii="Verdana" w:hAnsi="Verdana"/>
          <w:sz w:val="20"/>
          <w:szCs w:val="20"/>
          <w:highlight w:val="yellow"/>
        </w:rPr>
        <w:t>Το μίσθωμα θα παραμείνει σταθερό το πρώτο χρόνο της μίσθωσης .</w:t>
      </w:r>
    </w:p>
    <w:p w14:paraId="437FFB96">
      <w:pPr>
        <w:jc w:val="both"/>
        <w:rPr>
          <w:rFonts w:ascii="Verdana" w:hAnsi="Verdana"/>
          <w:sz w:val="20"/>
          <w:szCs w:val="20"/>
          <w:highlight w:val="yellow"/>
        </w:rPr>
      </w:pPr>
      <w:r>
        <w:rPr>
          <w:rFonts w:ascii="Verdana" w:hAnsi="Verdana"/>
          <w:sz w:val="20"/>
          <w:szCs w:val="20"/>
          <w:highlight w:val="yellow"/>
        </w:rPr>
        <w:t>Μετά από την ημερομηνία αυτή, θα αναπροσαρμόζεται σε ποσοστό ετησίως, επί του εκάστοτε καταβαλλόμενου, μέχρι τη λήξη της μίσθωσης κατά το ποσοστό του συνόλου της μεταβολής του δείκτη τιμών καταναλωτή του μήνα αναπροσαρμογής, σε σχέση με τον αντίστοιχο μήνα του προηγούμενου έτους (απλή δωδεκάμηνη μεταβολή), όπως αυτή υπολογίζεται από την Εθνική Στατιστική Υπηρεσία της Ελλάδος. (Ε.Σ.Υ.Ε).</w:t>
      </w:r>
    </w:p>
    <w:p w14:paraId="60AC2277">
      <w:pPr>
        <w:jc w:val="both"/>
        <w:rPr>
          <w:rFonts w:ascii="Verdana" w:hAnsi="Verdana"/>
          <w:sz w:val="20"/>
          <w:szCs w:val="20"/>
        </w:rPr>
      </w:pPr>
      <w:r>
        <w:rPr>
          <w:rFonts w:ascii="Verdana" w:hAnsi="Verdana"/>
          <w:sz w:val="20"/>
          <w:szCs w:val="20"/>
          <w:highlight w:val="yellow"/>
        </w:rPr>
        <w:t>Σε περίπτωση αρνητικής μεταβολής του δείκτη τιμών, το μίσθωμα θα παραμένει σταθερό.</w:t>
      </w:r>
    </w:p>
    <w:p w14:paraId="75373179">
      <w:pPr>
        <w:jc w:val="both"/>
        <w:rPr>
          <w:rFonts w:ascii="Verdana" w:hAnsi="Verdana"/>
          <w:sz w:val="20"/>
          <w:szCs w:val="20"/>
        </w:rPr>
      </w:pPr>
      <w:r>
        <w:rPr>
          <w:rFonts w:ascii="Verdana" w:hAnsi="Verdana"/>
          <w:sz w:val="20"/>
          <w:szCs w:val="20"/>
        </w:rPr>
        <w:t>Σημειώνεται ότι στο παρόν μίσθωμα δεν περιλαμβάνονται τα τέλη κατάληψης κοινόχρηστων χώρων, για τα οποία ισχύουν οι εκάστοτε αποφάσεις του Δημοτικού Συμβουλίου  Λεβαδέων, περί  καθορισμού, δημοτικών τελών χρήσης κοινόχρηστων χώρων (άρθρο 3 Ν. 1080/80).</w:t>
      </w:r>
    </w:p>
    <w:p w14:paraId="3B7F7474">
      <w:pPr>
        <w:jc w:val="both"/>
        <w:rPr>
          <w:rFonts w:ascii="Verdana" w:hAnsi="Verdana"/>
          <w:sz w:val="20"/>
          <w:szCs w:val="20"/>
        </w:rPr>
      </w:pPr>
      <w:r>
        <w:rPr>
          <w:rFonts w:ascii="Verdana" w:hAnsi="Verdana"/>
          <w:sz w:val="20"/>
          <w:szCs w:val="20"/>
        </w:rPr>
        <w:t xml:space="preserve">                                                     </w:t>
      </w:r>
    </w:p>
    <w:p w14:paraId="30B13B22">
      <w:pPr>
        <w:jc w:val="center"/>
        <w:rPr>
          <w:rFonts w:ascii="Verdana" w:hAnsi="Verdana"/>
          <w:sz w:val="20"/>
          <w:szCs w:val="20"/>
        </w:rPr>
      </w:pPr>
      <w:r>
        <w:rPr>
          <w:rFonts w:ascii="Verdana" w:hAnsi="Verdana"/>
          <w:b/>
          <w:bCs/>
          <w:sz w:val="20"/>
          <w:szCs w:val="20"/>
        </w:rPr>
        <w:t>Άρθρο 12</w:t>
      </w:r>
    </w:p>
    <w:p w14:paraId="3346FA58">
      <w:pPr>
        <w:jc w:val="center"/>
        <w:rPr>
          <w:rFonts w:ascii="Verdana" w:hAnsi="Verdana"/>
          <w:sz w:val="20"/>
          <w:szCs w:val="20"/>
        </w:rPr>
      </w:pPr>
      <w:r>
        <w:rPr>
          <w:rFonts w:ascii="Verdana" w:hAnsi="Verdana"/>
          <w:b/>
          <w:bCs/>
          <w:sz w:val="20"/>
          <w:szCs w:val="20"/>
        </w:rPr>
        <w:t>Εγγύηση συμμετοχής</w:t>
      </w:r>
    </w:p>
    <w:p w14:paraId="5C7B9ADE">
      <w:pPr>
        <w:jc w:val="both"/>
        <w:rPr>
          <w:rFonts w:ascii="Verdana" w:hAnsi="Verdana"/>
          <w:sz w:val="20"/>
          <w:szCs w:val="20"/>
        </w:rPr>
      </w:pPr>
      <w:r>
        <w:rPr>
          <w:rFonts w:ascii="Verdana" w:hAnsi="Verdana"/>
          <w:sz w:val="20"/>
          <w:szCs w:val="20"/>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14:paraId="7E56349A">
      <w:pPr>
        <w:jc w:val="both"/>
        <w:rPr>
          <w:rFonts w:ascii="Verdana" w:hAnsi="Verdana"/>
          <w:sz w:val="20"/>
          <w:szCs w:val="20"/>
          <w:highlight w:val="yellow"/>
        </w:rPr>
      </w:pPr>
      <w:r>
        <w:rPr>
          <w:rFonts w:ascii="Verdana" w:hAnsi="Verdana"/>
          <w:sz w:val="20"/>
          <w:szCs w:val="20"/>
          <w:highlight w:val="yellow"/>
        </w:rPr>
        <w:t xml:space="preserve">Ως  ποσό  εγγύησης συμμετοχής στο διαγωνισμό ορίζεται το ποσό των </w:t>
      </w:r>
      <w:r>
        <w:rPr>
          <w:rFonts w:ascii="Verdana" w:hAnsi="Verdana"/>
          <w:b/>
          <w:bCs/>
          <w:sz w:val="20"/>
          <w:szCs w:val="20"/>
          <w:highlight w:val="yellow"/>
          <w:lang w:val="el-GR"/>
        </w:rPr>
        <w:t>εξακοσίων</w:t>
      </w:r>
      <w:r>
        <w:rPr>
          <w:rFonts w:hint="default" w:ascii="Verdana" w:hAnsi="Verdana"/>
          <w:b/>
          <w:bCs/>
          <w:sz w:val="20"/>
          <w:szCs w:val="20"/>
          <w:highlight w:val="yellow"/>
          <w:lang w:val="el-GR"/>
        </w:rPr>
        <w:t xml:space="preserve"> εξήντα</w:t>
      </w:r>
      <w:r>
        <w:rPr>
          <w:rFonts w:ascii="Verdana" w:hAnsi="Verdana"/>
          <w:sz w:val="20"/>
          <w:szCs w:val="20"/>
          <w:highlight w:val="yellow"/>
        </w:rPr>
        <w:t xml:space="preserve">           </w:t>
      </w:r>
      <w:r>
        <w:rPr>
          <w:rFonts w:ascii="Verdana" w:hAnsi="Verdana"/>
          <w:b/>
          <w:bCs/>
          <w:sz w:val="20"/>
          <w:szCs w:val="20"/>
          <w:highlight w:val="yellow"/>
        </w:rPr>
        <w:t>ευρώ (</w:t>
      </w:r>
      <w:r>
        <w:rPr>
          <w:rFonts w:hint="default" w:ascii="Verdana" w:hAnsi="Verdana"/>
          <w:b/>
          <w:bCs/>
          <w:sz w:val="20"/>
          <w:szCs w:val="20"/>
          <w:highlight w:val="yellow"/>
          <w:lang w:val="el-GR"/>
        </w:rPr>
        <w:t>660,00</w:t>
      </w:r>
      <w:r>
        <w:rPr>
          <w:rFonts w:ascii="Verdana" w:hAnsi="Verdana"/>
          <w:b/>
          <w:bCs/>
          <w:sz w:val="20"/>
          <w:szCs w:val="20"/>
          <w:highlight w:val="yellow"/>
        </w:rPr>
        <w:t xml:space="preserve"> €).</w:t>
      </w:r>
    </w:p>
    <w:p w14:paraId="55FA66CC">
      <w:pPr>
        <w:jc w:val="both"/>
        <w:rPr>
          <w:rFonts w:ascii="Verdana" w:hAnsi="Verdana"/>
          <w:sz w:val="20"/>
          <w:szCs w:val="20"/>
        </w:rPr>
      </w:pPr>
      <w:r>
        <w:rPr>
          <w:rFonts w:ascii="Verdana" w:hAnsi="Verdana"/>
          <w:sz w:val="20"/>
          <w:szCs w:val="20"/>
        </w:rPr>
        <w:t xml:space="preserve">Η εγγυητική αυτή επιστολή αντικαθίσταται, μετά την υπογραφή της σύμβασης με άλλη εγγύηση ποσού ίσου προς το ποσοστό </w:t>
      </w:r>
      <w:r>
        <w:rPr>
          <w:rFonts w:ascii="Verdana" w:hAnsi="Verdana"/>
          <w:b/>
          <w:bCs/>
          <w:sz w:val="20"/>
          <w:szCs w:val="20"/>
        </w:rPr>
        <w:t xml:space="preserve">10%  </w:t>
      </w:r>
      <w:r>
        <w:rPr>
          <w:rFonts w:ascii="Verdana" w:hAnsi="Verdana"/>
          <w:sz w:val="20"/>
          <w:szCs w:val="20"/>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14:paraId="034D7BD6">
      <w:pPr>
        <w:jc w:val="both"/>
        <w:rPr>
          <w:rFonts w:ascii="Verdana" w:hAnsi="Verdana"/>
          <w:sz w:val="20"/>
          <w:szCs w:val="20"/>
        </w:rPr>
      </w:pPr>
      <w:r>
        <w:rPr>
          <w:rFonts w:ascii="Verdana" w:hAnsi="Verdana"/>
          <w:sz w:val="20"/>
          <w:szCs w:val="20"/>
        </w:rPr>
        <w:t xml:space="preserve">  Η συγκεκριμένη εγγυητική επιστολή, θα καταπίπτει, υπέρ του Δήμου, σε περίπτωση : </w:t>
      </w:r>
    </w:p>
    <w:p w14:paraId="08C70252">
      <w:pPr>
        <w:jc w:val="both"/>
        <w:rPr>
          <w:rFonts w:ascii="Verdana" w:hAnsi="Verdana"/>
          <w:sz w:val="20"/>
          <w:szCs w:val="20"/>
        </w:rPr>
      </w:pPr>
      <w:r>
        <w:rPr>
          <w:rFonts w:ascii="Verdana" w:hAnsi="Verdana"/>
          <w:sz w:val="20"/>
          <w:szCs w:val="20"/>
        </w:rPr>
        <w:t xml:space="preserve">α) μη εμπρόθεσμη καταβολής μισθωμάτων, </w:t>
      </w:r>
    </w:p>
    <w:p w14:paraId="56FB8973">
      <w:pPr>
        <w:jc w:val="both"/>
        <w:rPr>
          <w:rFonts w:ascii="Verdana" w:hAnsi="Verdana"/>
          <w:sz w:val="20"/>
          <w:szCs w:val="20"/>
        </w:rPr>
      </w:pPr>
      <w:r>
        <w:rPr>
          <w:rFonts w:ascii="Verdana" w:hAnsi="Verdana"/>
          <w:sz w:val="20"/>
          <w:szCs w:val="20"/>
        </w:rPr>
        <w:t>β) πρόωρης λύσης της σύμβασης, από τον μισθωτή,</w:t>
      </w:r>
    </w:p>
    <w:p w14:paraId="59FCC890">
      <w:pPr>
        <w:jc w:val="both"/>
        <w:rPr>
          <w:rFonts w:ascii="Verdana" w:hAnsi="Verdana"/>
          <w:sz w:val="20"/>
          <w:szCs w:val="20"/>
        </w:rPr>
      </w:pPr>
      <w:r>
        <w:rPr>
          <w:rFonts w:ascii="Verdana" w:hAnsi="Verdana"/>
          <w:sz w:val="20"/>
          <w:szCs w:val="20"/>
        </w:rPr>
        <w:t>γ) οποιασδήποτε παράβασης των όρων της σύμβασης, από τον μισθωτή, οι οποίοι όροι θεωρούνται, όλοι ουσιώδεις.</w:t>
      </w:r>
    </w:p>
    <w:p w14:paraId="6D5A3195">
      <w:pPr>
        <w:jc w:val="both"/>
        <w:rPr>
          <w:rFonts w:ascii="Verdana" w:hAnsi="Verdana"/>
          <w:sz w:val="20"/>
          <w:szCs w:val="20"/>
        </w:rPr>
      </w:pPr>
    </w:p>
    <w:p w14:paraId="2C28E125">
      <w:pPr>
        <w:jc w:val="center"/>
        <w:rPr>
          <w:rFonts w:ascii="Verdana" w:hAnsi="Verdana"/>
          <w:b/>
          <w:bCs/>
          <w:sz w:val="20"/>
          <w:szCs w:val="20"/>
        </w:rPr>
      </w:pPr>
      <w:r>
        <w:rPr>
          <w:rFonts w:ascii="Verdana" w:hAnsi="Verdana"/>
          <w:b/>
          <w:bCs/>
          <w:sz w:val="20"/>
          <w:szCs w:val="20"/>
        </w:rPr>
        <w:t>Άρθρο  13</w:t>
      </w:r>
    </w:p>
    <w:p w14:paraId="446F6B35">
      <w:pPr>
        <w:jc w:val="center"/>
        <w:rPr>
          <w:rFonts w:ascii="Verdana" w:hAnsi="Verdana"/>
          <w:b/>
          <w:bCs/>
          <w:sz w:val="20"/>
          <w:szCs w:val="20"/>
        </w:rPr>
      </w:pPr>
      <w:r>
        <w:rPr>
          <w:rFonts w:ascii="Verdana" w:hAnsi="Verdana"/>
          <w:b/>
          <w:bCs/>
          <w:sz w:val="20"/>
          <w:szCs w:val="20"/>
        </w:rPr>
        <w:t>Εγγύηση καλής εκτέλεσης των όρων που αφορούν  στη χωροθέτηση της κατασκευής του περιπτέρου.</w:t>
      </w:r>
    </w:p>
    <w:p w14:paraId="14F4ED10">
      <w:pPr>
        <w:jc w:val="both"/>
        <w:rPr>
          <w:rFonts w:ascii="Verdana" w:hAnsi="Verdana"/>
          <w:sz w:val="20"/>
          <w:szCs w:val="20"/>
        </w:rPr>
      </w:pPr>
      <w:r>
        <w:rPr>
          <w:rFonts w:ascii="Verdana" w:hAnsi="Verdana"/>
          <w:sz w:val="20"/>
          <w:szCs w:val="20"/>
        </w:rPr>
        <w:t xml:space="preserve">Για την σύναψη της σύμβασης παραχώρησης απαιτείται η κατάθεση εγγύησης   υπέρ του οικείου δήμου για την εξασφάλιση της καλής εκτέλεσης των όρων της σύμβασης που αφορούν στη χωροθέτηση της κατασκευής του περιπτέρου. Ο Δήμος υποχρεούται   να επιστρέψει την εγγύηση αυτή άτοκα ευθύς μόλις διαπιστωθεί η τήρηση των όρων καλής εκτέλεσης και σε κάθε περίπτωση  εντός αποκλειστικής προθεσμίας ενός (1) μηνός από την γνωστοποίηση  σε αυτόν της ολοκλήρωσης κατασκευής του περιπτέρου, σύμφωνα με τις προδιαγραφές που προβλέπει ο νέος κανονισμός περιπτέρων του Δήμου  Λεβαδέων  (264/2015 ΑΔΣ).   </w:t>
      </w:r>
    </w:p>
    <w:p w14:paraId="3BCCB3AA">
      <w:pPr>
        <w:jc w:val="both"/>
        <w:rPr>
          <w:rFonts w:ascii="Verdana" w:hAnsi="Verdana"/>
          <w:sz w:val="20"/>
          <w:szCs w:val="20"/>
        </w:rPr>
      </w:pPr>
      <w:r>
        <w:rPr>
          <w:rFonts w:ascii="Verdana" w:hAnsi="Verdana"/>
          <w:sz w:val="20"/>
          <w:szCs w:val="20"/>
        </w:rPr>
        <w:t>Παρερχόμενης άπρακτης της προθεσμίας αυτής , η εγγύηση επιστρέφει από το Δήμο.</w:t>
      </w:r>
    </w:p>
    <w:p w14:paraId="38B5F837">
      <w:pPr>
        <w:jc w:val="both"/>
        <w:rPr>
          <w:rFonts w:ascii="Verdana" w:hAnsi="Verdana"/>
          <w:sz w:val="20"/>
          <w:szCs w:val="20"/>
        </w:rPr>
      </w:pPr>
      <w:r>
        <w:rPr>
          <w:rFonts w:ascii="Verdana" w:hAnsi="Verdana"/>
          <w:sz w:val="20"/>
          <w:szCs w:val="20"/>
        </w:rPr>
        <w:t xml:space="preserve">Ο καθορισμός του ύψους της ανωτέρω εγγύησης, ο τρόπος καταβολής αυτής και κάθε άλλη αναγκαία λεπτομέρεια  καθορίζεται  από το όργανο που έχει την αρμοδιότητα διεξαγωγής της δημοπρασίας και αναφέρεται διακριτά στη σχετική διακήρυξη. Το ύψος της εγγύησης ορίζεται σε ποσοστό 70%  του κόστους κατεδάφισης της κατασκευής  του περιπτέρου και επαναφοράς των πραγμάτων στην πρότερη κατάσταση της κατασκευής του, (περ. 5 της υποπαρ. ΣΤ.2 του άρθρου 1 του Ν. 4093/20212, όπως αντικαταστήθηκε από το άρθρο 76 του Ν. 4257/2014 ) και αντιστοιχεί στο  ποσό  </w:t>
      </w:r>
      <w:r>
        <w:rPr>
          <w:rFonts w:ascii="Verdana" w:hAnsi="Verdana"/>
          <w:b/>
          <w:bCs/>
          <w:sz w:val="20"/>
          <w:szCs w:val="20"/>
        </w:rPr>
        <w:t>(420,00€)</w:t>
      </w:r>
      <w:r>
        <w:rPr>
          <w:rFonts w:ascii="Verdana" w:hAnsi="Verdana"/>
          <w:sz w:val="20"/>
          <w:szCs w:val="20"/>
        </w:rPr>
        <w:t xml:space="preserve">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hint="default" w:ascii="Verdana" w:hAnsi="Verdana" w:cs="Verdana"/>
          <w:b w:val="0"/>
          <w:color w:val="000000"/>
          <w:sz w:val="20"/>
          <w:szCs w:val="20"/>
          <w:lang w:val="el-GR"/>
        </w:rPr>
        <w:t>οδού Καραγιαννοπούλου 94</w:t>
      </w:r>
      <w:r>
        <w:rPr>
          <w:rStyle w:val="7"/>
          <w:rFonts w:ascii="Verdana" w:hAnsi="Verdana" w:cs="Verdana"/>
          <w:b w:val="0"/>
          <w:color w:val="000000"/>
          <w:sz w:val="20"/>
          <w:szCs w:val="20"/>
        </w:rPr>
        <w:t>, Κοινότητας Λιβαδειάς, επιφανείας περιπτέρου 4,56 τ.μ. (2,40 χ1,90) έτσι όπως αποτυπώνεται στην γενική κάτοψη της Διεύθυνσης Τεχνικών Υπηρεσιών του Δήμου Λεβαδέων.</w:t>
      </w:r>
    </w:p>
    <w:p w14:paraId="1D5E30D6">
      <w:pPr>
        <w:jc w:val="both"/>
        <w:rPr>
          <w:rFonts w:ascii="Verdana" w:hAnsi="Verdana"/>
          <w:sz w:val="20"/>
          <w:szCs w:val="20"/>
        </w:rPr>
      </w:pPr>
    </w:p>
    <w:p w14:paraId="06F09713">
      <w:pPr>
        <w:jc w:val="both"/>
        <w:rPr>
          <w:rFonts w:ascii="Verdana" w:hAnsi="Verdana"/>
          <w:b/>
          <w:bCs/>
          <w:sz w:val="20"/>
          <w:szCs w:val="20"/>
        </w:rPr>
      </w:pPr>
      <w:r>
        <w:rPr>
          <w:rFonts w:ascii="Verdana" w:hAnsi="Verdana"/>
          <w:b/>
          <w:bCs/>
          <w:sz w:val="20"/>
          <w:szCs w:val="20"/>
        </w:rPr>
        <w:t xml:space="preserve">                                                                    </w:t>
      </w:r>
    </w:p>
    <w:p w14:paraId="045FFAD9">
      <w:pPr>
        <w:jc w:val="both"/>
        <w:rPr>
          <w:rFonts w:ascii="Verdana" w:hAnsi="Verdana"/>
          <w:b/>
          <w:bCs/>
          <w:sz w:val="20"/>
          <w:szCs w:val="20"/>
        </w:rPr>
      </w:pPr>
      <w:r>
        <w:rPr>
          <w:rFonts w:ascii="Verdana" w:hAnsi="Verdana"/>
          <w:b/>
          <w:bCs/>
          <w:sz w:val="20"/>
          <w:szCs w:val="20"/>
        </w:rPr>
        <w:t xml:space="preserve">                                                            </w:t>
      </w:r>
    </w:p>
    <w:p w14:paraId="4A90685C">
      <w:pPr>
        <w:jc w:val="center"/>
        <w:rPr>
          <w:rFonts w:ascii="Verdana" w:hAnsi="Verdana"/>
          <w:b/>
          <w:bCs/>
          <w:sz w:val="20"/>
          <w:szCs w:val="20"/>
        </w:rPr>
      </w:pPr>
      <w:r>
        <w:rPr>
          <w:rFonts w:ascii="Verdana" w:hAnsi="Verdana"/>
          <w:b/>
          <w:bCs/>
          <w:sz w:val="20"/>
          <w:szCs w:val="20"/>
        </w:rPr>
        <w:t>Άρθρο 14</w:t>
      </w:r>
    </w:p>
    <w:p w14:paraId="366BCAEA">
      <w:pPr>
        <w:jc w:val="center"/>
        <w:rPr>
          <w:rFonts w:ascii="Verdana" w:hAnsi="Verdana"/>
          <w:sz w:val="20"/>
          <w:szCs w:val="20"/>
        </w:rPr>
      </w:pPr>
      <w:r>
        <w:rPr>
          <w:rFonts w:ascii="Verdana" w:hAnsi="Verdana"/>
          <w:b/>
          <w:bCs/>
          <w:sz w:val="20"/>
          <w:szCs w:val="20"/>
        </w:rPr>
        <w:t>Υποχρεώσεις μισθωτή</w:t>
      </w:r>
    </w:p>
    <w:p w14:paraId="4D88880E">
      <w:pPr>
        <w:jc w:val="both"/>
        <w:rPr>
          <w:rFonts w:ascii="Verdana" w:hAnsi="Verdana"/>
          <w:sz w:val="20"/>
          <w:szCs w:val="20"/>
        </w:rPr>
      </w:pPr>
      <w:r>
        <w:rPr>
          <w:rFonts w:ascii="Verdana" w:hAnsi="Verdana"/>
          <w:sz w:val="20"/>
          <w:szCs w:val="20"/>
        </w:rPr>
        <w:t>Ο μισθωτής υποχρεούται όπως εντός τεσσάρων (4) μηνών από την υπογραφή του οικείου συμφωνητικού μίσθωσης να κάνει έναρξη πλήρους λειτουργίας του περιπτέρου και εάν εντός τεσσάρων (4) μηνών από την υπογραφή του συμφωνητικού δεν θέσει σε πλήρη λειτουργία το περίπτερο, ο εκμισθωτής Δήμος  Λεβαδέων  θα δύναται να τον κηρύξει έκπτωτο με τις σε βάρος του συνέπειες. Η μη συμμόρφωση του προς την ανωτέρω υποχρέωση συνεπάγεται έκπτωση  του μισθωτή μετά από την προηγούμενη έγγραφη κλίση προς παροχή εξηγημένων προθεσμίας 48 ωρών.</w:t>
      </w:r>
    </w:p>
    <w:p w14:paraId="6AE6A480">
      <w:pPr>
        <w:jc w:val="both"/>
        <w:rPr>
          <w:rFonts w:ascii="Verdana" w:hAnsi="Verdana"/>
          <w:sz w:val="20"/>
          <w:szCs w:val="20"/>
        </w:rPr>
      </w:pPr>
      <w:r>
        <w:rPr>
          <w:rFonts w:ascii="Verdana" w:hAnsi="Verdana"/>
          <w:sz w:val="20"/>
          <w:szCs w:val="20"/>
        </w:rPr>
        <w:t>Στη περίπτωση αυτή η σύμβαση  μίσθωσης λύνεται, ο δε μισθωτής δεν έχει δικαίωμα να αναζητήσει το τυχόν υπόλοιπο καταβληθέν μίσθωμα , το οποίο καταπίπτει υπέρ του εκμισθωτή Δήμου  Λεβαδέων, ως συμφωνημένης από τώρα ποινικής ρήτρας για παράβαση ουσιώδους όρου της μίσθωσης.</w:t>
      </w:r>
    </w:p>
    <w:p w14:paraId="486428FB">
      <w:pPr>
        <w:jc w:val="both"/>
        <w:rPr>
          <w:rFonts w:ascii="Verdana" w:hAnsi="Verdana"/>
          <w:sz w:val="20"/>
          <w:szCs w:val="20"/>
        </w:rPr>
      </w:pPr>
      <w:r>
        <w:rPr>
          <w:rFonts w:ascii="Verdana" w:hAnsi="Verdana"/>
          <w:sz w:val="20"/>
          <w:szCs w:val="20"/>
        </w:rPr>
        <w:t>Ο μισθωτής υποχρεούται να  διατηρεί και διαφυλάσσει την κατοχή του μισθίου, τις υπέρ αυτού δουλείες , τα όρια αυτού και εν γένει το μίσθιο, σε καλή  κατάσταση , προστατεύοντας αυτό απέναντι σε κάθε καταπάτηση, διαφορετικά ευθύνεται σε αποζημίωση.</w:t>
      </w:r>
    </w:p>
    <w:p w14:paraId="3BED9B42">
      <w:pPr>
        <w:jc w:val="both"/>
        <w:rPr>
          <w:rFonts w:ascii="Verdana" w:hAnsi="Verdana"/>
          <w:sz w:val="20"/>
          <w:szCs w:val="20"/>
        </w:rPr>
      </w:pPr>
      <w:r>
        <w:rPr>
          <w:rFonts w:ascii="Verdana" w:hAnsi="Verdana"/>
          <w:sz w:val="20"/>
          <w:szCs w:val="20"/>
        </w:rPr>
        <w:t xml:space="preserve">Ο μισθωτής υποχρεούται με τη λήξη της μίσθωσης, αν παραδώσει το μίσθιον στην κατάσταση </w:t>
      </w:r>
    </w:p>
    <w:p w14:paraId="54F8E287">
      <w:pPr>
        <w:jc w:val="both"/>
        <w:rPr>
          <w:rFonts w:ascii="Verdana" w:hAnsi="Verdana"/>
          <w:sz w:val="20"/>
          <w:szCs w:val="20"/>
        </w:rPr>
      </w:pPr>
      <w:r>
        <w:rPr>
          <w:rFonts w:ascii="Verdana" w:hAnsi="Verdana"/>
          <w:sz w:val="20"/>
          <w:szCs w:val="20"/>
        </w:rPr>
        <w:t>στην οποία το παρέλαβε , διαφορετικά ευθύνεται σε αποζημίωση ίση με το ποσό της ζημίας η οποία θα εκτιμηθεί από την Τεχνική Υπηρεσία του Δήμου  Λεβαδέων.</w:t>
      </w:r>
    </w:p>
    <w:p w14:paraId="13633D0F">
      <w:pPr>
        <w:jc w:val="both"/>
        <w:rPr>
          <w:rFonts w:ascii="Verdana" w:hAnsi="Verdana"/>
          <w:sz w:val="20"/>
          <w:szCs w:val="20"/>
        </w:rPr>
      </w:pPr>
      <w:r>
        <w:rPr>
          <w:rFonts w:ascii="Verdana" w:hAnsi="Verdana"/>
          <w:sz w:val="20"/>
          <w:szCs w:val="20"/>
        </w:rPr>
        <w:t>Τα τέλη καθαριότητας , ύδρευσης , φωτισμού, τηλεφωνικά τέλη  κ.λ.π. καθώς και κάθε είδους φόροι, εισφορές, τέλη, κρατήσεις υπέρ τρίτων και κάθε άλλη δαπάνη θα βαρύνουν τον μισθωτή.</w:t>
      </w:r>
    </w:p>
    <w:p w14:paraId="04A2C2F9">
      <w:pPr>
        <w:jc w:val="both"/>
        <w:rPr>
          <w:rFonts w:ascii="Verdana" w:hAnsi="Verdana"/>
          <w:sz w:val="20"/>
          <w:szCs w:val="20"/>
        </w:rPr>
      </w:pPr>
      <w:r>
        <w:rPr>
          <w:rFonts w:ascii="Verdana" w:hAnsi="Verdana"/>
          <w:sz w:val="20"/>
          <w:szCs w:val="20"/>
        </w:rPr>
        <w:t>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14:paraId="1E6E8707">
      <w:pPr>
        <w:jc w:val="both"/>
        <w:rPr>
          <w:rFonts w:ascii="Verdana" w:hAnsi="Verdana"/>
          <w:sz w:val="20"/>
          <w:szCs w:val="20"/>
        </w:rPr>
      </w:pPr>
      <w:r>
        <w:rPr>
          <w:rFonts w:ascii="Verdana" w:hAnsi="Verdana"/>
          <w:sz w:val="20"/>
          <w:szCs w:val="20"/>
        </w:rPr>
        <w:t>Ο μισθωτής υποχρεούται να διατηρεί απόλυτη καθαριότητα σε όλους τους χώρους του μσθίου και να τηρεί πλήρως τους γενικούς κανόνες υγιεινής  συμμορφούμενος  απόλυτα  με τις οδηγίες της αρμόδιας Υγειονομικής Υπηρεσίας.</w:t>
      </w:r>
    </w:p>
    <w:p w14:paraId="7225BE24">
      <w:pPr>
        <w:jc w:val="both"/>
        <w:rPr>
          <w:rFonts w:ascii="Verdana" w:hAnsi="Verdana"/>
          <w:sz w:val="20"/>
          <w:szCs w:val="20"/>
        </w:rPr>
      </w:pPr>
      <w:r>
        <w:rPr>
          <w:rFonts w:ascii="Verdana" w:hAnsi="Verdana"/>
          <w:sz w:val="20"/>
          <w:szCs w:val="20"/>
        </w:rPr>
        <w:t>Όλες οι εργασίες συντήρησης του χώρου θα βαρύνουν τον μισθωτή.</w:t>
      </w:r>
    </w:p>
    <w:p w14:paraId="3A4871AB">
      <w:pPr>
        <w:jc w:val="both"/>
        <w:rPr>
          <w:rFonts w:ascii="Verdana" w:hAnsi="Verdana"/>
          <w:sz w:val="20"/>
          <w:szCs w:val="20"/>
        </w:rPr>
      </w:pPr>
      <w:r>
        <w:rPr>
          <w:rFonts w:ascii="Verdana" w:hAnsi="Verdana"/>
          <w:sz w:val="20"/>
          <w:szCs w:val="20"/>
        </w:rPr>
        <w:t>Ο μισθωτής δεν απαλλάσσεται από την πληρωμή του ενοικίου εάν δεν έκανε χρήση του μισθίου χωρίς υπαιτιότητα του  εκμισθωτή.</w:t>
      </w:r>
    </w:p>
    <w:p w14:paraId="79BF51BB">
      <w:pPr>
        <w:jc w:val="both"/>
        <w:rPr>
          <w:rFonts w:ascii="Verdana" w:hAnsi="Verdana"/>
          <w:sz w:val="20"/>
          <w:szCs w:val="20"/>
        </w:rPr>
      </w:pPr>
      <w:r>
        <w:rPr>
          <w:rFonts w:ascii="Verdana" w:hAnsi="Verdana"/>
          <w:sz w:val="20"/>
          <w:szCs w:val="20"/>
        </w:rPr>
        <w:t>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14:paraId="68198EC0">
      <w:pPr>
        <w:jc w:val="both"/>
        <w:rPr>
          <w:rFonts w:ascii="Verdana" w:hAnsi="Verdana"/>
          <w:sz w:val="20"/>
          <w:szCs w:val="20"/>
        </w:rPr>
      </w:pPr>
      <w:r>
        <w:rPr>
          <w:rFonts w:ascii="Verdana" w:hAnsi="Verdana"/>
          <w:sz w:val="20"/>
          <w:szCs w:val="20"/>
        </w:rPr>
        <w:t>Σε περίπτωση μη χορήγησης  άδειας από τα αρμόδια όργανα (υγειονομικό, κ.λ.π. ) ή αφαίρεση της άδειας λειτουργίας, ο μισθωτής  δεν απαλλάσσεται από την υποχρέωση καταβολής του τμήματος  όσο διαρκεί η σύμβαση παραχώρησης.</w:t>
      </w:r>
    </w:p>
    <w:p w14:paraId="34460551">
      <w:pPr>
        <w:jc w:val="both"/>
        <w:rPr>
          <w:rFonts w:ascii="Verdana" w:hAnsi="Verdana"/>
          <w:sz w:val="20"/>
          <w:szCs w:val="20"/>
        </w:rPr>
      </w:pPr>
      <w:r>
        <w:rPr>
          <w:rFonts w:ascii="Verdana" w:hAnsi="Verdana"/>
          <w:sz w:val="20"/>
          <w:szCs w:val="20"/>
        </w:rPr>
        <w:t>Ο μισθωτής υποχρεούται να τηρεί τις προβλεπόμενες διατάξεις περί πωλούμενων προϊόντων  στα περίπτερα.</w:t>
      </w:r>
    </w:p>
    <w:p w14:paraId="067100E2">
      <w:pPr>
        <w:jc w:val="both"/>
        <w:rPr>
          <w:rFonts w:ascii="Verdana" w:hAnsi="Verdana"/>
          <w:sz w:val="20"/>
          <w:szCs w:val="20"/>
        </w:rPr>
      </w:pPr>
      <w:r>
        <w:rPr>
          <w:rFonts w:ascii="Verdana" w:hAnsi="Verdana"/>
          <w:sz w:val="20"/>
          <w:szCs w:val="20"/>
        </w:rPr>
        <w:t>Ο μισθωτής υποχρεούται να τηρεί πιστά τον Κανονισμό Λειτουργίας Περιπτέρων του Δήμου Λεβαδέων.</w:t>
      </w:r>
    </w:p>
    <w:p w14:paraId="7A52E3FF">
      <w:pPr>
        <w:jc w:val="center"/>
        <w:rPr>
          <w:rFonts w:ascii="Verdana" w:hAnsi="Verdana"/>
          <w:sz w:val="20"/>
          <w:szCs w:val="20"/>
        </w:rPr>
      </w:pPr>
    </w:p>
    <w:p w14:paraId="73F11F79">
      <w:pPr>
        <w:jc w:val="center"/>
        <w:rPr>
          <w:rFonts w:ascii="Verdana" w:hAnsi="Verdana"/>
          <w:b/>
          <w:bCs/>
          <w:sz w:val="20"/>
          <w:szCs w:val="20"/>
        </w:rPr>
      </w:pPr>
    </w:p>
    <w:p w14:paraId="536CE01B">
      <w:pPr>
        <w:jc w:val="center"/>
        <w:rPr>
          <w:rFonts w:ascii="Verdana" w:hAnsi="Verdana"/>
          <w:sz w:val="20"/>
          <w:szCs w:val="20"/>
        </w:rPr>
      </w:pPr>
      <w:r>
        <w:rPr>
          <w:rFonts w:ascii="Verdana" w:hAnsi="Verdana"/>
          <w:b/>
          <w:bCs/>
          <w:sz w:val="20"/>
          <w:szCs w:val="20"/>
        </w:rPr>
        <w:t>Άρθρο 15</w:t>
      </w:r>
    </w:p>
    <w:p w14:paraId="1A197865">
      <w:pPr>
        <w:jc w:val="center"/>
        <w:rPr>
          <w:rFonts w:ascii="Verdana" w:hAnsi="Verdana"/>
          <w:sz w:val="20"/>
          <w:szCs w:val="20"/>
        </w:rPr>
      </w:pPr>
      <w:r>
        <w:rPr>
          <w:rFonts w:ascii="Verdana" w:hAnsi="Verdana"/>
          <w:b/>
          <w:bCs/>
          <w:sz w:val="20"/>
          <w:szCs w:val="20"/>
        </w:rPr>
        <w:t>Αναμίσθωση-  Υπεκμίσθωση</w:t>
      </w:r>
    </w:p>
    <w:p w14:paraId="4F31D31B">
      <w:pPr>
        <w:jc w:val="both"/>
        <w:rPr>
          <w:rFonts w:ascii="Verdana" w:hAnsi="Verdana"/>
          <w:sz w:val="20"/>
          <w:szCs w:val="20"/>
        </w:rPr>
      </w:pPr>
      <w:r>
        <w:rPr>
          <w:rFonts w:ascii="Verdana" w:hAnsi="Verdana"/>
          <w:sz w:val="20"/>
          <w:szCs w:val="20"/>
        </w:rPr>
        <w:t xml:space="preserve">Απαγορεύεται η αναμίσθωση, η υπεκμίσθωση και η εν γένει περαιτέρω παραχώρηση του δικαιώματος χρήσης σε τρίτους, με την επιφύλαξη των διατάξεων της παραγράφου 7 του άρθρου 76 του Ν. 4257/2014, σύμφωνα με την οποία επιτρέπεται η εκμίσθωση του δικαιώματος  εκμετάλλευσης σε τρίτους, μόνον για λόγους γήρατος ή σε περίπτωση αναπηρίας σε ποσοστό 67% και άνω, η οποία  αποδεικνύεται βάσει των εκάστοτε ισχυουσών διατάξεων. Η διάρκεια της μίσθωσης δεν μπορεί να υπερβαίνει το χρόνο λήξης της μίσθωσης δηλαδή τα 10 χρόνια </w:t>
      </w:r>
    </w:p>
    <w:p w14:paraId="7B5613D7">
      <w:pPr>
        <w:jc w:val="both"/>
        <w:rPr>
          <w:rFonts w:ascii="Verdana" w:hAnsi="Verdana"/>
          <w:sz w:val="20"/>
          <w:szCs w:val="20"/>
        </w:rPr>
      </w:pPr>
      <w:r>
        <w:rPr>
          <w:rFonts w:ascii="Verdana" w:hAnsi="Verdana"/>
          <w:sz w:val="20"/>
          <w:szCs w:val="20"/>
        </w:rPr>
        <w:t>κατ΄ ανώτατο.  Αντίγραφο του μισθωτηρίου συμβολαίου προσκομίζεται εντός (30) ημερών στο Δήμο  Λεβαδέων, ο οποίος  εκδίδει πράξη με την οποία διαπιστώνεται η περαιτέρω παραχώρηση. Σε περίπτωση διακοπής της μίσθωσης υποχρεούνται τα συμβαλλόμενα μέρη να ενημερώνουν εντός (30) ημερών το αρμόδιο γραφείο του Δήμου (Τμήμα Τοπικής Ανάπτυξης).</w:t>
      </w:r>
    </w:p>
    <w:p w14:paraId="491D4EED">
      <w:pPr>
        <w:jc w:val="both"/>
        <w:rPr>
          <w:rFonts w:ascii="Verdana" w:hAnsi="Verdana"/>
          <w:sz w:val="20"/>
          <w:szCs w:val="20"/>
        </w:rPr>
      </w:pPr>
    </w:p>
    <w:p w14:paraId="5C466EB3">
      <w:pPr>
        <w:jc w:val="center"/>
        <w:rPr>
          <w:rFonts w:ascii="Verdana" w:hAnsi="Verdana"/>
          <w:sz w:val="20"/>
          <w:szCs w:val="20"/>
        </w:rPr>
      </w:pPr>
      <w:r>
        <w:rPr>
          <w:rFonts w:ascii="Verdana" w:hAnsi="Verdana"/>
          <w:b/>
          <w:bCs/>
          <w:sz w:val="20"/>
          <w:szCs w:val="20"/>
        </w:rPr>
        <w:t>Άρθρο  16</w:t>
      </w:r>
    </w:p>
    <w:p w14:paraId="0DF9F873">
      <w:pPr>
        <w:jc w:val="center"/>
        <w:rPr>
          <w:rFonts w:ascii="Verdana" w:hAnsi="Verdana"/>
          <w:b/>
          <w:bCs/>
          <w:sz w:val="20"/>
          <w:szCs w:val="20"/>
        </w:rPr>
      </w:pPr>
      <w:r>
        <w:rPr>
          <w:rFonts w:ascii="Verdana" w:hAnsi="Verdana"/>
          <w:b/>
          <w:bCs/>
          <w:sz w:val="20"/>
          <w:szCs w:val="20"/>
        </w:rPr>
        <w:t>Κληρονόμοι  Μισθωτή</w:t>
      </w:r>
    </w:p>
    <w:p w14:paraId="14A63FEC">
      <w:pPr>
        <w:jc w:val="both"/>
        <w:rPr>
          <w:rFonts w:ascii="Verdana" w:hAnsi="Verdana"/>
          <w:sz w:val="20"/>
          <w:szCs w:val="20"/>
        </w:rPr>
      </w:pPr>
      <w:r>
        <w:rPr>
          <w:rFonts w:ascii="Verdana" w:hAnsi="Verdana"/>
          <w:sz w:val="20"/>
          <w:szCs w:val="20"/>
        </w:rPr>
        <w:t>Σύζυγος και ενήλικα τέκνα που καθίστανται κληρονόμοι των ατόμων που εκμεταλλεύονται το ως άνω περίπτερο κατά το διάστημα των δέκα (10) ετών της παραχώρησης υπεισέρχονται αυτοδίκαια στο ανωτέρω δικαίωμα, για το διάστημα μέχρι τη συμπλήρωση  της 10ετίας , εφόσον δηλώσουν την επιθυμία τους στην αρμόδια αρχή (Δήμο) , εντός ενός (1) μηνός από του θανάτου του προσώπου στο οποίο έχει παραχωρηθεί η συγκεκριμένη θέση εκμετάλλευσης του περιπτέρου.</w:t>
      </w:r>
    </w:p>
    <w:p w14:paraId="474A68A1">
      <w:pPr>
        <w:jc w:val="both"/>
        <w:rPr>
          <w:rFonts w:ascii="Verdana" w:hAnsi="Verdana"/>
          <w:sz w:val="20"/>
          <w:szCs w:val="20"/>
        </w:rPr>
      </w:pPr>
      <w:r>
        <w:rPr>
          <w:rFonts w:ascii="Verdana" w:hAnsi="Verdana"/>
          <w:sz w:val="20"/>
          <w:szCs w:val="20"/>
        </w:rPr>
        <w:t xml:space="preserve">                                    </w:t>
      </w:r>
    </w:p>
    <w:p w14:paraId="0C7B3848">
      <w:pPr>
        <w:jc w:val="center"/>
        <w:rPr>
          <w:rFonts w:ascii="Verdana" w:hAnsi="Verdana"/>
          <w:sz w:val="20"/>
          <w:szCs w:val="20"/>
        </w:rPr>
      </w:pPr>
      <w:r>
        <w:rPr>
          <w:rFonts w:ascii="Verdana" w:hAnsi="Verdana"/>
          <w:b/>
          <w:bCs/>
          <w:sz w:val="20"/>
          <w:szCs w:val="20"/>
        </w:rPr>
        <w:t>Άρθρο 17</w:t>
      </w:r>
    </w:p>
    <w:p w14:paraId="75E190E3">
      <w:pPr>
        <w:jc w:val="center"/>
        <w:rPr>
          <w:rFonts w:ascii="Verdana" w:hAnsi="Verdana"/>
          <w:b/>
          <w:bCs/>
          <w:sz w:val="20"/>
          <w:szCs w:val="20"/>
        </w:rPr>
      </w:pPr>
      <w:r>
        <w:rPr>
          <w:rFonts w:ascii="Verdana" w:hAnsi="Verdana"/>
          <w:b/>
          <w:bCs/>
          <w:sz w:val="20"/>
          <w:szCs w:val="20"/>
        </w:rPr>
        <w:t>Δικαίωμα χρήσης κοινόχρηστου χώρου</w:t>
      </w:r>
    </w:p>
    <w:p w14:paraId="1DEBDD46">
      <w:pPr>
        <w:jc w:val="both"/>
        <w:rPr>
          <w:rFonts w:ascii="Verdana" w:hAnsi="Verdana"/>
          <w:sz w:val="20"/>
          <w:szCs w:val="20"/>
        </w:rPr>
      </w:pPr>
      <w:r>
        <w:rPr>
          <w:rFonts w:ascii="Verdana" w:hAnsi="Verdana"/>
          <w:b/>
          <w:bCs/>
          <w:sz w:val="20"/>
          <w:szCs w:val="20"/>
        </w:rPr>
        <w:t xml:space="preserve"> </w:t>
      </w:r>
      <w:r>
        <w:rPr>
          <w:rFonts w:ascii="Verdana" w:hAnsi="Verdana"/>
          <w:sz w:val="20"/>
          <w:szCs w:val="20"/>
        </w:rPr>
        <w:t>Σε περίπτωση παραχώρησης του δικαιώματος χρήσης κοινόχρηστου  χώρου, πέραν αυτού που καταλαμβάνει η κατασκευή του περιπτέρου,  εφαρμόζονται οι διατάξεις του άρθρου 3 του Ν. 1080/80 και της  περ. 5 της υποπαρ. ΣΤ. 2. του άρθρου πρώτου του Ν. 4093/2012 που αντικαταστήθηκε από το άρθρο 76 του Ν. 4257/ 2014, όπως εκάστοτε ισχύουν , καθώς επίσης και οι ισχύουσες κάθε φορά αποφάσεις του Δημοτικού  Συμβουλίου Λεβαδέων περί καθορισμού τελών χρήσης κοινόχρηστων χώρων και ο Κανονισμός Λειτουργίας Περιπτέρων.</w:t>
      </w:r>
    </w:p>
    <w:p w14:paraId="6BDFC9F0">
      <w:pPr>
        <w:jc w:val="both"/>
        <w:rPr>
          <w:rFonts w:ascii="Verdana" w:hAnsi="Verdana"/>
          <w:b/>
          <w:bCs/>
          <w:sz w:val="20"/>
          <w:szCs w:val="20"/>
        </w:rPr>
      </w:pPr>
      <w:r>
        <w:rPr>
          <w:rFonts w:ascii="Verdana" w:hAnsi="Verdana"/>
          <w:b/>
          <w:bCs/>
          <w:sz w:val="20"/>
          <w:szCs w:val="20"/>
        </w:rPr>
        <w:t xml:space="preserve">                                                       </w:t>
      </w:r>
    </w:p>
    <w:p w14:paraId="5A848D0E">
      <w:pPr>
        <w:jc w:val="both"/>
        <w:rPr>
          <w:rFonts w:ascii="Verdana" w:hAnsi="Verdana"/>
          <w:b/>
          <w:bCs/>
          <w:sz w:val="20"/>
          <w:szCs w:val="20"/>
        </w:rPr>
      </w:pPr>
    </w:p>
    <w:p w14:paraId="02608EE6">
      <w:pPr>
        <w:jc w:val="center"/>
        <w:rPr>
          <w:rFonts w:ascii="Verdana" w:hAnsi="Verdana"/>
          <w:b/>
          <w:bCs/>
          <w:sz w:val="20"/>
          <w:szCs w:val="20"/>
        </w:rPr>
      </w:pPr>
      <w:r>
        <w:rPr>
          <w:rFonts w:ascii="Verdana" w:hAnsi="Verdana"/>
          <w:b/>
          <w:bCs/>
          <w:sz w:val="20"/>
          <w:szCs w:val="20"/>
        </w:rPr>
        <w:t>Άρθρο 18</w:t>
      </w:r>
    </w:p>
    <w:p w14:paraId="013B253B">
      <w:pPr>
        <w:jc w:val="center"/>
        <w:rPr>
          <w:rFonts w:ascii="Verdana" w:hAnsi="Verdana"/>
          <w:b/>
          <w:bCs/>
          <w:sz w:val="20"/>
          <w:szCs w:val="20"/>
        </w:rPr>
      </w:pPr>
      <w:r>
        <w:rPr>
          <w:rFonts w:ascii="Verdana" w:hAnsi="Verdana"/>
          <w:b/>
          <w:bCs/>
          <w:sz w:val="20"/>
          <w:szCs w:val="20"/>
        </w:rPr>
        <w:t>Ευθύνη  Δήμου</w:t>
      </w:r>
    </w:p>
    <w:p w14:paraId="1E69362D">
      <w:pPr>
        <w:jc w:val="both"/>
        <w:rPr>
          <w:rFonts w:ascii="Verdana" w:hAnsi="Verdana"/>
          <w:b/>
          <w:bCs/>
          <w:sz w:val="20"/>
          <w:szCs w:val="20"/>
        </w:rPr>
      </w:pPr>
      <w:r>
        <w:rPr>
          <w:rFonts w:ascii="Verdana" w:hAnsi="Verdana"/>
          <w:sz w:val="20"/>
          <w:szCs w:val="20"/>
        </w:rPr>
        <w:t>Ο Δήμος δεν ευθύνεται έναντι του μισθωτή για την πραγματική κατάσταση στην οποία βρίσκεται το μίσθιο, της οποίας  τεκμαίρεται ότι έχει λάβει γνώση  ,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14:paraId="2AA07EAF">
      <w:pPr>
        <w:jc w:val="both"/>
        <w:rPr>
          <w:rFonts w:ascii="Verdana" w:hAnsi="Verdana"/>
          <w:sz w:val="20"/>
          <w:szCs w:val="20"/>
        </w:rPr>
      </w:pPr>
    </w:p>
    <w:p w14:paraId="70B8A194">
      <w:pPr>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Άρθρο 19 </w:t>
      </w:r>
    </w:p>
    <w:p w14:paraId="12FE77BA">
      <w:pPr>
        <w:jc w:val="both"/>
        <w:rPr>
          <w:rFonts w:ascii="Verdana" w:hAnsi="Verdana"/>
          <w:sz w:val="20"/>
          <w:szCs w:val="20"/>
        </w:rPr>
      </w:pPr>
      <w:r>
        <w:rPr>
          <w:rFonts w:ascii="Verdana" w:hAnsi="Verdana"/>
          <w:b/>
          <w:bCs/>
          <w:sz w:val="20"/>
          <w:szCs w:val="20"/>
        </w:rPr>
        <w:t xml:space="preserve">                                                        Κατασκευή περιπτέρου</w:t>
      </w:r>
    </w:p>
    <w:p w14:paraId="096D5CDD">
      <w:pPr>
        <w:jc w:val="both"/>
        <w:rPr>
          <w:rFonts w:ascii="Verdana" w:hAnsi="Verdana"/>
          <w:sz w:val="20"/>
          <w:szCs w:val="20"/>
        </w:rPr>
      </w:pPr>
      <w:r>
        <w:rPr>
          <w:rFonts w:ascii="Verdana" w:hAnsi="Verdana"/>
          <w:sz w:val="20"/>
          <w:szCs w:val="20"/>
        </w:rPr>
        <w:t>Ο μισθωτής της κενωθείσας θέσης περιπτέρου, που θα προκύψει μετά την δημοπρασία, οφείλει να συμμορφωθεί με τους όρους της υπ. Αριθμ. 264/2015 Κανονιστικής Απόφασης του Δήμου Λεβαδέων  καθώς και να συμμορφώνεται με κάθε νέα Κανονιστική Απόφαση.</w:t>
      </w:r>
    </w:p>
    <w:p w14:paraId="380B1984">
      <w:pPr>
        <w:jc w:val="both"/>
        <w:rPr>
          <w:rFonts w:ascii="Verdana" w:hAnsi="Verdana"/>
          <w:sz w:val="20"/>
          <w:szCs w:val="20"/>
        </w:rPr>
      </w:pPr>
      <w:r>
        <w:rPr>
          <w:rFonts w:ascii="Verdana" w:hAnsi="Verdana"/>
          <w:sz w:val="20"/>
          <w:szCs w:val="20"/>
        </w:rPr>
        <w:t>Σύμφωνα με την Κανονιστική Απόφαση θα πρέπει ο μισθωτής να ακολουθήσει τις εξής γενικές αρχές τοποθέτησης περιπτέρων, σχετικά με τον τύπο και τις διαστάσεις αυτών :</w:t>
      </w:r>
    </w:p>
    <w:p w14:paraId="7C4117AC">
      <w:pPr>
        <w:jc w:val="both"/>
        <w:rPr>
          <w:rFonts w:ascii="Verdana" w:hAnsi="Verdana"/>
          <w:sz w:val="20"/>
          <w:szCs w:val="20"/>
        </w:rPr>
      </w:pPr>
      <w:r>
        <w:rPr>
          <w:rFonts w:ascii="Verdana" w:hAnsi="Verdana"/>
          <w:sz w:val="20"/>
          <w:szCs w:val="20"/>
        </w:rPr>
        <w:t>Ο συνολικός χώρος κατάληψης κάθε περιπτέρου να είναι 2</w:t>
      </w:r>
      <w:r>
        <w:rPr>
          <w:rFonts w:hint="default" w:ascii="Verdana" w:hAnsi="Verdana"/>
          <w:sz w:val="20"/>
          <w:szCs w:val="20"/>
          <w:lang w:val="el-GR"/>
        </w:rPr>
        <w:t>0,66</w:t>
      </w:r>
      <w:r>
        <w:rPr>
          <w:rFonts w:ascii="Verdana" w:hAnsi="Verdana"/>
          <w:sz w:val="20"/>
          <w:szCs w:val="20"/>
        </w:rPr>
        <w:t xml:space="preserve"> τ.μ. συμπεριλαμβανομένου του κουβουκλίου το οποίο θα είναι έως </w:t>
      </w:r>
      <w:r>
        <w:rPr>
          <w:rFonts w:hint="default" w:ascii="Verdana" w:hAnsi="Verdana"/>
          <w:sz w:val="20"/>
          <w:szCs w:val="20"/>
          <w:lang w:val="el-GR"/>
        </w:rPr>
        <w:t>4</w:t>
      </w:r>
      <w:r>
        <w:rPr>
          <w:rFonts w:ascii="Verdana" w:hAnsi="Verdana"/>
          <w:sz w:val="20"/>
          <w:szCs w:val="20"/>
        </w:rPr>
        <w:t>,</w:t>
      </w:r>
      <w:r>
        <w:rPr>
          <w:rFonts w:hint="default" w:ascii="Verdana" w:hAnsi="Verdana"/>
          <w:sz w:val="20"/>
          <w:szCs w:val="20"/>
          <w:lang w:val="el-GR"/>
        </w:rPr>
        <w:t>56</w:t>
      </w:r>
      <w:r>
        <w:rPr>
          <w:rFonts w:ascii="Verdana" w:hAnsi="Verdana"/>
          <w:sz w:val="20"/>
          <w:szCs w:val="20"/>
        </w:rPr>
        <w:t xml:space="preserve"> τ.μ..  Για περίπτερα που βρίσκονται μπροστά από τις προσόψεις καταστημάτων ή γενικότερα εμποδίζουν, από την κατάληψη κοινόχρηστου χώρου, πέραν του κουβουκλίου τους, την θέα προς τους υπόλοιπους κοινόχρηστους  χώρους  ο συνολικός χώρος κατάληψης κάθε περιπτέρου μπορεί να είναι 10 τ.μ.  συμπεριλαμβανομένου του κουβουκλίου το οποίο δεν θα ξεπερνά τα 6,25 τ.μ.</w:t>
      </w:r>
    </w:p>
    <w:p w14:paraId="107A9D29">
      <w:pPr>
        <w:jc w:val="both"/>
        <w:rPr>
          <w:rFonts w:ascii="Verdana" w:hAnsi="Verdana"/>
          <w:sz w:val="20"/>
          <w:szCs w:val="20"/>
        </w:rPr>
      </w:pPr>
      <w:r>
        <w:rPr>
          <w:rFonts w:ascii="Verdana" w:hAnsi="Verdana"/>
          <w:sz w:val="20"/>
          <w:szCs w:val="20"/>
        </w:rPr>
        <w:t>Οπωσδήποτε δεν θα πρέπει να παρακωλύεται η ομαλή και ασφαλή κυκλοφορία των πεζών και των οχημάτων και θα πρέπει να μένει ελεύθερος χώρος τουλάχιστον 1,6, μ. Η τέντα μπορεί να εκτείνεται έως 0,5μ. Από το εσώτερο άκρο του κρασπέδου , μόνο εφόσον αφήνει ελεύθερο ύψος  2,40 μ. Χρήση κοινόχρηστου χώρου μπορεί να γίνει μόνο κατόπιν εκδόσεως αδείας από την αρμόδια αρχή, σύμφωνα με την κείμενη νομοθεσία. Ο χώρος κάτω από τη τέντα θεωρείται ως κοινόχρηστος χώρος που έχει καταληφθεί για την χρήση του περιπτέρου.</w:t>
      </w:r>
    </w:p>
    <w:p w14:paraId="68682117">
      <w:pPr>
        <w:jc w:val="both"/>
        <w:rPr>
          <w:rFonts w:ascii="Verdana" w:hAnsi="Verdana"/>
          <w:sz w:val="20"/>
          <w:szCs w:val="20"/>
        </w:rPr>
      </w:pPr>
      <w:r>
        <w:rPr>
          <w:rFonts w:ascii="Verdana" w:hAnsi="Verdana"/>
          <w:sz w:val="20"/>
          <w:szCs w:val="20"/>
        </w:rPr>
        <w:t>Στην περίπτωση εφαρμογής του ( ενδεικτικού ) σχεδίου 1, πέραν του κουβουκλίου ( μέγιστες διαστάσεις 2,5μ Χ 2,5μ ) επιτρέπεται η τοποθέτηση κινητού προστεγάσματος ( τέντα) με στήριξη μόνο επάνω στο περίπτερο, χωρίς κατακόρυφα στηρίγματα, η οποία να προεξέχει το μέγιστο 1,30 μέτρα σε οριζόντια προβολή από αυτό. Όλα τα ψυγεία, κ.τ.λ., θα πρέπει να εφάπτονται του περιπτέρου.</w:t>
      </w:r>
    </w:p>
    <w:p w14:paraId="6D032D80">
      <w:pPr>
        <w:jc w:val="both"/>
        <w:rPr>
          <w:rFonts w:ascii="Verdana" w:hAnsi="Verdana"/>
          <w:sz w:val="20"/>
          <w:szCs w:val="20"/>
        </w:rPr>
      </w:pPr>
      <w:r>
        <w:rPr>
          <w:rFonts w:ascii="Verdana" w:hAnsi="Verdana"/>
          <w:sz w:val="20"/>
          <w:szCs w:val="20"/>
        </w:rPr>
        <w:t xml:space="preserve">Στην περίπτωση εφαρμογής του ( ενδεικτικού ) σχεδίου 2 :  Ο συνολικός χώρος κατάληψης κάθε περιπτέρου μπορεί να είναι μέχρι 23,00τ.μ.  Η τέντα  μπορεί να προεξέχει έως 0,80 μ.  Για περίπτερα που βρίσκονται μπροστά από τις προσόψεις καταστημάτων ή γενικότερα εμποδίζουν την θέα προς τους υπόλοιπους κοινόχρηστους χώρους θα πρέπει να προτιμάται ο τύπος του σχεδίου 1. </w:t>
      </w:r>
    </w:p>
    <w:p w14:paraId="7B3E8DEF">
      <w:pPr>
        <w:jc w:val="both"/>
        <w:rPr>
          <w:rFonts w:ascii="Verdana" w:hAnsi="Verdana"/>
          <w:sz w:val="20"/>
          <w:szCs w:val="20"/>
        </w:rPr>
      </w:pPr>
      <w:r>
        <w:rPr>
          <w:rFonts w:ascii="Verdana" w:hAnsi="Verdana"/>
          <w:sz w:val="20"/>
          <w:szCs w:val="20"/>
        </w:rPr>
        <w:t>Όλα τα ψυγεία, κ.τ.λ, θα πρέπει να περιλαμβάνονται στο στέγαστρο του περιπτέρου που έχει διαστάσεις 2,5μ. Χ (μέγιστο ) 3,00μ. με τρόπο που δεν θα εμποδίζει την διαμπερή κυκλοφορία των πεζών. Τις ώρες μη λειτουργίας του περιπτέρου, επιτρέπεται η προστασία του κουβουκλίου και του στεγάστρου του περιπτέρου με ομοιόμορφα μεταλλικά ρολά με περσίδες.</w:t>
      </w:r>
    </w:p>
    <w:p w14:paraId="13148762">
      <w:pPr>
        <w:jc w:val="both"/>
        <w:rPr>
          <w:rFonts w:ascii="Verdana" w:hAnsi="Verdana"/>
          <w:sz w:val="20"/>
          <w:szCs w:val="20"/>
        </w:rPr>
      </w:pPr>
      <w:r>
        <w:rPr>
          <w:rFonts w:ascii="Verdana" w:hAnsi="Verdana"/>
          <w:sz w:val="20"/>
          <w:szCs w:val="20"/>
        </w:rPr>
        <w:t>Για τα νέα περίπτερα θα ακολουθείται το σχέδιο 1 ή το σχέδιο 2α, τα οποία αποτυπώνονται  στην υπ΄ αριθμ. 264/2015  Κανονιστικής  Απόφασης του Δήμου  Λεβαδέων.</w:t>
      </w:r>
    </w:p>
    <w:p w14:paraId="60B66C3F">
      <w:pPr>
        <w:jc w:val="both"/>
        <w:rPr>
          <w:rFonts w:ascii="Verdana" w:hAnsi="Verdana"/>
          <w:sz w:val="20"/>
          <w:szCs w:val="20"/>
        </w:rPr>
      </w:pPr>
      <w:r>
        <w:rPr>
          <w:rFonts w:ascii="Verdana" w:hAnsi="Verdana"/>
          <w:sz w:val="20"/>
          <w:szCs w:val="20"/>
        </w:rPr>
        <w:t>Σε περίπτωση μη συμμόρφωσης με όσα  αναφέρονται στον Κανονισμό Λειτουργίας Περιπτέρων, η άδεια λειτουργίας του περιπτέρου αφαιρείται ενώ το περίπτερο κατεδαφίζεται.</w:t>
      </w:r>
    </w:p>
    <w:p w14:paraId="6712EA17">
      <w:pPr>
        <w:jc w:val="both"/>
        <w:rPr>
          <w:rFonts w:ascii="Verdana" w:hAnsi="Verdana"/>
          <w:sz w:val="20"/>
          <w:szCs w:val="20"/>
        </w:rPr>
      </w:pPr>
      <w:r>
        <w:rPr>
          <w:rFonts w:ascii="Verdana" w:hAnsi="Verdana"/>
          <w:sz w:val="20"/>
          <w:szCs w:val="20"/>
        </w:rPr>
        <w:t>Η δαπάνη κατασκευής του περιπτέρου βαρύνει τον πλειοδότη, ο οποίος υποχρεούται εντός τεσσάρων ( 4) μηνών από την υπογραφή του συμφωνητικού να τοποθετήσει το περίπτερο.</w:t>
      </w:r>
    </w:p>
    <w:p w14:paraId="3D4B4F49">
      <w:pPr>
        <w:jc w:val="both"/>
        <w:rPr>
          <w:rFonts w:ascii="Verdana" w:hAnsi="Verdana"/>
          <w:sz w:val="20"/>
          <w:szCs w:val="20"/>
        </w:rPr>
      </w:pPr>
      <w:r>
        <w:rPr>
          <w:rFonts w:ascii="Verdana" w:hAnsi="Verdana"/>
          <w:sz w:val="20"/>
          <w:szCs w:val="20"/>
        </w:rPr>
        <w:t>Αν το διάστημα αυτό παρέλθει άπρακτο το μισθωτήριο συμβόλαιο θεωρείται αυτοδικαίως άκυρο.</w:t>
      </w:r>
    </w:p>
    <w:p w14:paraId="3DB9C542">
      <w:pPr>
        <w:jc w:val="both"/>
        <w:rPr>
          <w:rFonts w:ascii="Verdana" w:hAnsi="Verdana"/>
          <w:sz w:val="20"/>
          <w:szCs w:val="20"/>
        </w:rPr>
      </w:pPr>
      <w:r>
        <w:rPr>
          <w:rFonts w:ascii="Verdana" w:hAnsi="Verdana"/>
          <w:sz w:val="20"/>
          <w:szCs w:val="20"/>
        </w:rPr>
        <w:t>Ο μισθωτής μετά τη λήξη της σύμβασης παραχώρησης  χρήσης δύναται να απομακρύνει το περίπτερο ή να το διαπραγματευτεί με το νέο μισθωτή που τυχόν υπάρξει. Επίσης οφείλει να παραδώσει σε καλή κατάσταση το χώρο, να αποκαταστήσει κάθε φθορά και βλάβη του χώρου καθώς επίσης θα έχει υποχρεωτικά εξοφλήσει κάθε είδους οφειλές που αφορούν καθ΄ οιονδήποτε τρόπο το μίσθιο.</w:t>
      </w:r>
    </w:p>
    <w:p w14:paraId="38A48A89">
      <w:pPr>
        <w:jc w:val="both"/>
        <w:rPr>
          <w:rFonts w:ascii="Verdana" w:hAnsi="Verdana"/>
          <w:sz w:val="20"/>
          <w:szCs w:val="20"/>
        </w:rPr>
      </w:pPr>
      <w:r>
        <w:rPr>
          <w:rFonts w:ascii="Verdana" w:hAnsi="Verdana"/>
          <w:sz w:val="20"/>
          <w:szCs w:val="20"/>
        </w:rPr>
        <w:t xml:space="preserve">                                                                   </w:t>
      </w:r>
    </w:p>
    <w:p w14:paraId="4166134F">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20</w:t>
      </w:r>
    </w:p>
    <w:p w14:paraId="21F25EB1">
      <w:pPr>
        <w:jc w:val="both"/>
        <w:rPr>
          <w:rFonts w:ascii="Verdana" w:hAnsi="Verdana"/>
          <w:b/>
          <w:bCs/>
          <w:sz w:val="20"/>
          <w:szCs w:val="20"/>
        </w:rPr>
      </w:pPr>
      <w:r>
        <w:rPr>
          <w:rFonts w:ascii="Verdana" w:hAnsi="Verdana"/>
          <w:b/>
          <w:bCs/>
          <w:sz w:val="20"/>
          <w:szCs w:val="20"/>
        </w:rPr>
        <w:t xml:space="preserve">                                                            Έκπτωση Μισθωτή </w:t>
      </w:r>
    </w:p>
    <w:p w14:paraId="66C61B7B">
      <w:pPr>
        <w:jc w:val="both"/>
        <w:rPr>
          <w:rFonts w:ascii="Verdana" w:hAnsi="Verdana"/>
          <w:sz w:val="20"/>
          <w:szCs w:val="20"/>
        </w:rPr>
      </w:pPr>
      <w:r>
        <w:rPr>
          <w:rFonts w:ascii="Verdana" w:hAnsi="Verdana"/>
          <w:sz w:val="20"/>
          <w:szCs w:val="20"/>
        </w:rPr>
        <w:t>Η παράβαση κάθε όρου της παρούσας, οι οποίοι θεωρούνται όλοι ουσιώδεις, από τον μισθωτή, ανεξαρτήτως των μέτρων που λαμβάνονται σε βάρος του, σύμφωνα με την παρούσα, επιφέρει τη λύση της μίσθωσης και την αποβολή αυτού από το μίσθιο μετά τις νόμιμες σε βάρος του συνέπειες. Περί της έκπτωσης του μισθωτή αποφασίζει  το Δημοτικό Συμβουλίου του Δήμου Λεβαδέων.</w:t>
      </w:r>
    </w:p>
    <w:p w14:paraId="033F3F42">
      <w:pPr>
        <w:jc w:val="both"/>
        <w:rPr>
          <w:rFonts w:ascii="Verdana" w:hAnsi="Verdana"/>
          <w:sz w:val="20"/>
          <w:szCs w:val="20"/>
        </w:rPr>
      </w:pPr>
      <w:r>
        <w:rPr>
          <w:rFonts w:ascii="Verdana" w:hAnsi="Verdana"/>
          <w:sz w:val="20"/>
          <w:szCs w:val="20"/>
        </w:rPr>
        <w:t>Η εκ μέρους του εκμισθωτή σιωπηρή ανοχή παράβασης ή καταστρατήγησης των διατάξεων της παρούσας διακήρυξης, δεν λογίζεται ως έγκριση ή παραίτηση  δικαιώματος ή τροποποιήσεις της παρούσας μίσθωσης ούτε παρέχει κάποιο δικαίωμα στον μισθωτή.</w:t>
      </w:r>
    </w:p>
    <w:p w14:paraId="7080A0C0">
      <w:pPr>
        <w:jc w:val="both"/>
        <w:rPr>
          <w:rFonts w:ascii="Verdana" w:hAnsi="Verdana"/>
          <w:sz w:val="20"/>
          <w:szCs w:val="20"/>
        </w:rPr>
      </w:pPr>
      <w:r>
        <w:rPr>
          <w:rFonts w:ascii="Verdana" w:hAnsi="Verdana"/>
          <w:sz w:val="20"/>
          <w:szCs w:val="20"/>
        </w:rPr>
        <w:t>Η κήρυξη έκπτωτου   του μισθωτή έχει τις εξής συνέπειες :</w:t>
      </w:r>
    </w:p>
    <w:p w14:paraId="439E1ABB">
      <w:pPr>
        <w:jc w:val="both"/>
        <w:rPr>
          <w:rFonts w:ascii="Verdana" w:hAnsi="Verdana"/>
          <w:sz w:val="20"/>
          <w:szCs w:val="20"/>
        </w:rPr>
      </w:pPr>
      <w:r>
        <w:rPr>
          <w:rFonts w:ascii="Verdana" w:hAnsi="Verdana"/>
          <w:sz w:val="20"/>
          <w:szCs w:val="20"/>
        </w:rPr>
        <w:t>α) Εκπίπτει υπέρ του εκμισθωτή Δήμου Λεβαδέων η κατατεθείσα εγγύηση ως ποινική ρήτρα, μη υπολογιζόμενη στις τυχόν  οφειλές του έκπτωτου μισθωτή.</w:t>
      </w:r>
    </w:p>
    <w:p w14:paraId="6C8233EE">
      <w:pPr>
        <w:jc w:val="both"/>
        <w:rPr>
          <w:rFonts w:ascii="Verdana" w:hAnsi="Verdana"/>
          <w:sz w:val="20"/>
          <w:szCs w:val="20"/>
        </w:rPr>
      </w:pPr>
      <w:r>
        <w:rPr>
          <w:rFonts w:ascii="Verdana" w:hAnsi="Verdana"/>
          <w:sz w:val="20"/>
          <w:szCs w:val="20"/>
        </w:rPr>
        <w:t xml:space="preserve">β) Υποχρεούται ο μισθωτής να παραδώσει το μίσθιο εντός δέκα πέντε ( 15) ημερών από της κοινοποίησης σε αυτόν, την περί έκπτωσης απόφασης Δημοτικού Συμβουλίου. Σε περίπτωση καθυστέρησης ή άρνησης του, αποβάλλεται εκ του μισθίου, είτε διοικητικώς , είτε δια αποφάσεως του Εισαγγελέα, είτε δικαστικώς ή κατά τις διατάξεις περί απόδοσης  μισθίου του Κώδικα Πολιτικής  Δικονομίας. </w:t>
      </w:r>
    </w:p>
    <w:p w14:paraId="6A9DF0B6">
      <w:pPr>
        <w:jc w:val="both"/>
        <w:rPr>
          <w:rFonts w:ascii="Verdana" w:hAnsi="Verdana"/>
          <w:sz w:val="20"/>
          <w:szCs w:val="20"/>
        </w:rPr>
      </w:pPr>
    </w:p>
    <w:p w14:paraId="6858DECA">
      <w:pPr>
        <w:jc w:val="center"/>
        <w:rPr>
          <w:rFonts w:ascii="Verdana" w:hAnsi="Verdana"/>
          <w:sz w:val="20"/>
          <w:szCs w:val="20"/>
        </w:rPr>
      </w:pPr>
      <w:r>
        <w:rPr>
          <w:rFonts w:ascii="Verdana" w:hAnsi="Verdana"/>
          <w:b/>
          <w:bCs/>
          <w:sz w:val="20"/>
          <w:szCs w:val="20"/>
        </w:rPr>
        <w:t>Άρθρο  21</w:t>
      </w:r>
    </w:p>
    <w:p w14:paraId="21E22502">
      <w:pPr>
        <w:jc w:val="center"/>
        <w:rPr>
          <w:rFonts w:ascii="Verdana" w:hAnsi="Verdana"/>
          <w:b/>
          <w:bCs/>
          <w:sz w:val="20"/>
          <w:szCs w:val="20"/>
        </w:rPr>
      </w:pPr>
      <w:r>
        <w:rPr>
          <w:rFonts w:ascii="Verdana" w:hAnsi="Verdana"/>
          <w:b/>
          <w:bCs/>
          <w:sz w:val="20"/>
          <w:szCs w:val="20"/>
        </w:rPr>
        <w:t>Λοιπές  Ισχύουσες  Διατάξεις</w:t>
      </w:r>
    </w:p>
    <w:p w14:paraId="418535A5">
      <w:pPr>
        <w:jc w:val="both"/>
        <w:rPr>
          <w:rFonts w:ascii="Verdana" w:hAnsi="Verdana"/>
          <w:sz w:val="20"/>
          <w:szCs w:val="20"/>
        </w:rPr>
      </w:pPr>
      <w:r>
        <w:rPr>
          <w:rFonts w:ascii="Verdana" w:hAnsi="Verdana"/>
          <w:sz w:val="20"/>
          <w:szCs w:val="20"/>
        </w:rPr>
        <w:t xml:space="preserve">Για κάθε τι που δεν προβλέπεται από την διακήρυξη αυτή, ισχύουν τα οριζόμενα από το </w:t>
      </w:r>
    </w:p>
    <w:p w14:paraId="53A7AA0B">
      <w:pPr>
        <w:jc w:val="both"/>
        <w:rPr>
          <w:rFonts w:ascii="Verdana" w:hAnsi="Verdana"/>
          <w:sz w:val="20"/>
          <w:szCs w:val="20"/>
        </w:rPr>
      </w:pPr>
      <w:r>
        <w:rPr>
          <w:rFonts w:ascii="Verdana" w:hAnsi="Verdana"/>
          <w:sz w:val="20"/>
          <w:szCs w:val="20"/>
        </w:rPr>
        <w:t>Π.Δ .270/81 περί καθορισμού  όρων διενέργειας δημοπρασιών εκμίσθωσης πραγμάτων των Δήμων  και από τις πρόσθετες προϋποθέσεις που τίθενται στο Ν. 4093/2012 όπως αντικαταστήθηκε με το άρθρο 76 του Ν. 4257/ 2014 ( ΦΕΚ 43 Α΄14-4-2014 ),και από τον Κανονισμό Λειτουργίας των Περιπτέρων Δήμου Λεβαδέων.</w:t>
      </w:r>
    </w:p>
    <w:p w14:paraId="4ADB40A3">
      <w:pPr>
        <w:jc w:val="both"/>
        <w:rPr>
          <w:rFonts w:ascii="Verdana" w:hAnsi="Verdana"/>
          <w:sz w:val="20"/>
          <w:szCs w:val="20"/>
        </w:rPr>
      </w:pPr>
      <w:r>
        <w:rPr>
          <w:rFonts w:ascii="Verdana" w:hAnsi="Verdana"/>
          <w:sz w:val="20"/>
          <w:szCs w:val="20"/>
        </w:rPr>
        <w:t xml:space="preserve">                   </w:t>
      </w:r>
    </w:p>
    <w:p w14:paraId="700F705E">
      <w:pPr>
        <w:ind w:left="2880" w:firstLine="720"/>
        <w:rPr>
          <w:rFonts w:ascii="Verdana" w:hAnsi="Verdana"/>
          <w:sz w:val="20"/>
          <w:szCs w:val="20"/>
        </w:rPr>
      </w:pPr>
      <w:r>
        <w:rPr>
          <w:rFonts w:ascii="Verdana" w:hAnsi="Verdana"/>
          <w:b/>
          <w:bCs/>
          <w:sz w:val="20"/>
          <w:szCs w:val="20"/>
        </w:rPr>
        <w:t xml:space="preserve">          Άρθρο  22</w:t>
      </w:r>
    </w:p>
    <w:p w14:paraId="79031101">
      <w:pPr>
        <w:jc w:val="center"/>
        <w:rPr>
          <w:rFonts w:ascii="Verdana" w:hAnsi="Verdana"/>
          <w:b/>
          <w:bCs/>
          <w:sz w:val="20"/>
          <w:szCs w:val="20"/>
        </w:rPr>
      </w:pPr>
      <w:r>
        <w:rPr>
          <w:rFonts w:ascii="Verdana" w:hAnsi="Verdana"/>
          <w:b/>
          <w:bCs/>
          <w:sz w:val="20"/>
          <w:szCs w:val="20"/>
        </w:rPr>
        <w:t>Δημοσίευση Διακήρυξης</w:t>
      </w:r>
    </w:p>
    <w:p w14:paraId="508A61B5">
      <w:pPr>
        <w:jc w:val="both"/>
        <w:rPr>
          <w:rFonts w:ascii="Verdana" w:hAnsi="Verdana"/>
          <w:b/>
          <w:bCs/>
          <w:sz w:val="20"/>
          <w:szCs w:val="20"/>
        </w:rPr>
      </w:pPr>
      <w:r>
        <w:rPr>
          <w:rFonts w:ascii="Verdana" w:hAnsi="Verdana"/>
          <w:b/>
          <w:bCs/>
          <w:sz w:val="20"/>
          <w:szCs w:val="20"/>
        </w:rPr>
        <w:t xml:space="preserve">   </w:t>
      </w:r>
      <w:r>
        <w:rPr>
          <w:rFonts w:ascii="Verdana" w:hAnsi="Verdana"/>
          <w:sz w:val="20"/>
          <w:szCs w:val="20"/>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14:paraId="1504CAD7">
      <w:pPr>
        <w:jc w:val="both"/>
        <w:rPr>
          <w:rFonts w:ascii="Verdana" w:hAnsi="Verdana"/>
          <w:sz w:val="20"/>
          <w:szCs w:val="20"/>
        </w:rPr>
      </w:pPr>
      <w:r>
        <w:rPr>
          <w:rFonts w:ascii="Verdana" w:hAnsi="Verdana"/>
          <w:sz w:val="20"/>
          <w:szCs w:val="20"/>
        </w:rPr>
        <w:t>Περίληψη της διακήρυξης  θα δημοσιευθεί στην ημερήσια νομαρχιακή εφημερίδα  “</w:t>
      </w:r>
      <w:r>
        <w:rPr>
          <w:rFonts w:ascii="Verdana" w:hAnsi="Verdana"/>
          <w:sz w:val="20"/>
          <w:szCs w:val="20"/>
          <w:lang w:val="el-GR"/>
        </w:rPr>
        <w:t>ΝΕΑ</w:t>
      </w:r>
      <w:r>
        <w:rPr>
          <w:rFonts w:hint="default" w:ascii="Verdana" w:hAnsi="Verdana"/>
          <w:sz w:val="20"/>
          <w:szCs w:val="20"/>
          <w:lang w:val="el-GR"/>
        </w:rPr>
        <w:t xml:space="preserve"> ΤΗΣ ΒΟΙΩΤΙΑΣ</w:t>
      </w:r>
      <w:r>
        <w:rPr>
          <w:rFonts w:ascii="Verdana" w:hAnsi="Verdana"/>
          <w:sz w:val="20"/>
          <w:szCs w:val="20"/>
        </w:rPr>
        <w:t>” και στην εβδομαδιαία νομαρχιακή εφημερίδα “</w:t>
      </w:r>
      <w:r>
        <w:rPr>
          <w:rFonts w:ascii="Verdana" w:hAnsi="Verdana"/>
          <w:sz w:val="20"/>
          <w:szCs w:val="20"/>
          <w:lang w:val="el-GR"/>
        </w:rPr>
        <w:t>ΒΟΙΩΤΙΚΟΣ</w:t>
      </w:r>
      <w:r>
        <w:rPr>
          <w:rFonts w:hint="default" w:ascii="Verdana" w:hAnsi="Verdana"/>
          <w:sz w:val="20"/>
          <w:szCs w:val="20"/>
          <w:lang w:val="el-GR"/>
        </w:rPr>
        <w:t xml:space="preserve"> ΚΟΣΜΟΣ</w:t>
      </w:r>
      <w:r>
        <w:rPr>
          <w:rFonts w:ascii="Verdana" w:hAnsi="Verdana"/>
          <w:sz w:val="20"/>
          <w:szCs w:val="20"/>
        </w:rPr>
        <w:t>“.</w:t>
      </w:r>
      <w:r>
        <w:rPr>
          <w:rFonts w:ascii="Verdana" w:hAnsi="Verdana"/>
          <w:b/>
          <w:bCs/>
          <w:sz w:val="20"/>
          <w:szCs w:val="20"/>
        </w:rPr>
        <w:t xml:space="preserve">                                                              </w:t>
      </w:r>
    </w:p>
    <w:p w14:paraId="4EA63CEA">
      <w:pPr>
        <w:jc w:val="both"/>
        <w:rPr>
          <w:rFonts w:ascii="Verdana" w:hAnsi="Verdana"/>
          <w:bCs/>
          <w:sz w:val="20"/>
          <w:szCs w:val="20"/>
        </w:rPr>
      </w:pPr>
      <w:r>
        <w:rPr>
          <w:rFonts w:ascii="Verdana" w:hAnsi="Verdana"/>
          <w:bCs/>
          <w:sz w:val="20"/>
          <w:szCs w:val="20"/>
        </w:rPr>
        <w:t>Τα έξοδα δημοσίευσης επιβαρύνουν τον ανάδοχο.</w:t>
      </w:r>
    </w:p>
    <w:p w14:paraId="18C23C2C">
      <w:pPr>
        <w:jc w:val="center"/>
        <w:rPr>
          <w:rFonts w:ascii="Verdana" w:hAnsi="Verdana"/>
          <w:b/>
          <w:bCs/>
          <w:sz w:val="20"/>
          <w:szCs w:val="20"/>
        </w:rPr>
      </w:pPr>
    </w:p>
    <w:p w14:paraId="0E89F143">
      <w:pPr>
        <w:jc w:val="center"/>
        <w:rPr>
          <w:rFonts w:ascii="Verdana" w:hAnsi="Verdana"/>
          <w:sz w:val="20"/>
          <w:szCs w:val="20"/>
        </w:rPr>
      </w:pPr>
      <w:r>
        <w:rPr>
          <w:rFonts w:ascii="Verdana" w:hAnsi="Verdana"/>
          <w:b/>
          <w:bCs/>
          <w:sz w:val="20"/>
          <w:szCs w:val="20"/>
        </w:rPr>
        <w:t>Άρθρο 23</w:t>
      </w:r>
    </w:p>
    <w:p w14:paraId="462620AF">
      <w:pPr>
        <w:jc w:val="center"/>
        <w:rPr>
          <w:rFonts w:ascii="Verdana" w:hAnsi="Verdana"/>
          <w:b/>
          <w:bCs/>
          <w:sz w:val="20"/>
          <w:szCs w:val="20"/>
        </w:rPr>
      </w:pPr>
      <w:r>
        <w:rPr>
          <w:rFonts w:ascii="Verdana" w:hAnsi="Verdana"/>
          <w:b/>
          <w:bCs/>
          <w:sz w:val="20"/>
          <w:szCs w:val="20"/>
        </w:rPr>
        <w:t>Επανάληψη της δημοπρασίας</w:t>
      </w:r>
    </w:p>
    <w:p w14:paraId="110CFC53">
      <w:pPr>
        <w:jc w:val="both"/>
        <w:rPr>
          <w:rFonts w:ascii="Verdana" w:hAnsi="Verdana"/>
          <w:sz w:val="20"/>
          <w:szCs w:val="20"/>
        </w:rPr>
      </w:pPr>
      <w:r>
        <w:rPr>
          <w:rFonts w:ascii="Verdana" w:hAnsi="Verdana"/>
          <w:sz w:val="20"/>
          <w:szCs w:val="20"/>
        </w:rPr>
        <w:t>Η δημοπρασία επαναλαμβάνεται οίκοθεν από τον Δήμαρχο εάν δεν παρουσιάσθηκε κατ΄ αυτήν πλειοδότης.</w:t>
      </w:r>
    </w:p>
    <w:p w14:paraId="1189F700">
      <w:pPr>
        <w:jc w:val="both"/>
        <w:rPr>
          <w:rFonts w:ascii="Verdana" w:hAnsi="Verdana"/>
          <w:sz w:val="20"/>
          <w:szCs w:val="20"/>
        </w:rPr>
      </w:pPr>
      <w:r>
        <w:rPr>
          <w:rFonts w:ascii="Verdana" w:hAnsi="Verdana"/>
          <w:sz w:val="20"/>
          <w:szCs w:val="20"/>
        </w:rPr>
        <w:t>Η δημοπρασία επαναλαμβάνεται κατόπιν αποφάσεως του Δημοτικού Συμβουλίου όταν :</w:t>
      </w:r>
    </w:p>
    <w:p w14:paraId="754388D9">
      <w:pPr>
        <w:jc w:val="both"/>
        <w:rPr>
          <w:rFonts w:ascii="Verdana" w:hAnsi="Verdana"/>
          <w:sz w:val="20"/>
          <w:szCs w:val="20"/>
        </w:rPr>
      </w:pPr>
      <w:r>
        <w:rPr>
          <w:rFonts w:ascii="Verdana" w:hAnsi="Verdana"/>
          <w:sz w:val="20"/>
          <w:szCs w:val="20"/>
        </w:rPr>
        <w:t>α) το αποτέλεσμα αυτής δεν εγκριθεί από την Δημοτική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14:paraId="089B6BA3">
      <w:pPr>
        <w:jc w:val="both"/>
        <w:rPr>
          <w:rFonts w:ascii="Verdana" w:hAnsi="Verdana"/>
          <w:sz w:val="20"/>
          <w:szCs w:val="20"/>
        </w:rPr>
      </w:pPr>
      <w:r>
        <w:rPr>
          <w:rFonts w:ascii="Verdana" w:hAnsi="Verdana"/>
          <w:sz w:val="20"/>
          <w:szCs w:val="20"/>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14:paraId="5EB8E2FC">
      <w:pPr>
        <w:jc w:val="both"/>
        <w:rPr>
          <w:rFonts w:ascii="Verdana" w:hAnsi="Verdana"/>
          <w:sz w:val="20"/>
          <w:szCs w:val="20"/>
        </w:rPr>
      </w:pPr>
      <w:r>
        <w:rPr>
          <w:rFonts w:ascii="Verdana" w:hAnsi="Verdana"/>
          <w:sz w:val="20"/>
          <w:szCs w:val="20"/>
        </w:rPr>
        <w:t>Στην περίπτωση (β) η δημοπρασία, επαναλαμβάνεται εις βάρος του τελευταίου πλειοδότη και του εγγυητή αυτού, ως ελάχιστον δε όριο προσφοράς ορίζεται το επ΄ ονόματι  τούτου κατακυρωθέν ποσόν, δυνάμενο να μειωθεί με απόφαση του Δημοτικού Συμβουλίου.</w:t>
      </w:r>
    </w:p>
    <w:p w14:paraId="065E175A">
      <w:pPr>
        <w:jc w:val="both"/>
        <w:rPr>
          <w:rFonts w:ascii="Verdana" w:hAnsi="Verdana"/>
          <w:sz w:val="20"/>
          <w:szCs w:val="20"/>
        </w:rPr>
      </w:pPr>
      <w:r>
        <w:rPr>
          <w:rFonts w:ascii="Verdana" w:hAnsi="Verdana"/>
          <w:sz w:val="20"/>
          <w:szCs w:val="20"/>
        </w:rPr>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14:paraId="39A3417B">
      <w:pPr>
        <w:jc w:val="both"/>
        <w:rPr>
          <w:rFonts w:ascii="Verdana" w:hAnsi="Verdana"/>
          <w:sz w:val="20"/>
          <w:szCs w:val="20"/>
        </w:rPr>
      </w:pPr>
      <w:r>
        <w:rPr>
          <w:rFonts w:ascii="Verdana" w:hAnsi="Verdana"/>
          <w:sz w:val="20"/>
          <w:szCs w:val="20"/>
        </w:rPr>
        <w:t>Η επανάληψη της δημοπρασίας ενεργείται με βάση τη δοθείσα τελευταία προσφορά κατά την προηγούμενη δημοπρασία.</w:t>
      </w:r>
    </w:p>
    <w:p w14:paraId="3A9B981B">
      <w:pPr>
        <w:jc w:val="both"/>
        <w:rPr>
          <w:rFonts w:ascii="Verdana" w:hAnsi="Verdana"/>
          <w:sz w:val="20"/>
          <w:szCs w:val="20"/>
        </w:rPr>
      </w:pPr>
    </w:p>
    <w:p w14:paraId="138D2DF4">
      <w:pPr>
        <w:jc w:val="center"/>
        <w:rPr>
          <w:rFonts w:ascii="Verdana" w:hAnsi="Verdana"/>
          <w:sz w:val="20"/>
          <w:szCs w:val="20"/>
        </w:rPr>
      </w:pPr>
      <w:r>
        <w:rPr>
          <w:rFonts w:ascii="Verdana" w:hAnsi="Verdana"/>
          <w:b/>
          <w:bCs/>
          <w:sz w:val="20"/>
          <w:szCs w:val="20"/>
        </w:rPr>
        <w:t>Άρθρο 24</w:t>
      </w:r>
    </w:p>
    <w:p w14:paraId="260BE9A6">
      <w:pPr>
        <w:jc w:val="center"/>
        <w:rPr>
          <w:rFonts w:ascii="Verdana" w:hAnsi="Verdana"/>
          <w:b/>
          <w:bCs/>
          <w:sz w:val="20"/>
          <w:szCs w:val="20"/>
        </w:rPr>
      </w:pPr>
      <w:r>
        <w:rPr>
          <w:rFonts w:ascii="Verdana" w:hAnsi="Verdana"/>
          <w:b/>
          <w:bCs/>
          <w:sz w:val="20"/>
          <w:szCs w:val="20"/>
        </w:rPr>
        <w:t>Πληροφόρηση ενδιαφερομένων</w:t>
      </w:r>
    </w:p>
    <w:p w14:paraId="38761851">
      <w:pPr>
        <w:jc w:val="both"/>
        <w:rPr>
          <w:rFonts w:ascii="Verdana" w:hAnsi="Verdana"/>
          <w:sz w:val="20"/>
          <w:szCs w:val="20"/>
        </w:rPr>
      </w:pPr>
      <w:r>
        <w:rPr>
          <w:rFonts w:ascii="Verdana" w:hAnsi="Verdana"/>
          <w:sz w:val="20"/>
          <w:szCs w:val="20"/>
        </w:rPr>
        <w:t>Πληροφορίες και αντίγραφα της διακήρυξης της δημοπρασίας παρέχονται τις εργάσιμες ημέρες και ώρες 08.00 π.μ. έως 14.30 μ.μ. από το Τμήμα Εσόδων  &amp; Περιουσίας του Δήμου Λεβαδέων, Τηλέφωνα 2261350877, 2261350878 &amp; 2261350889.</w:t>
      </w:r>
    </w:p>
    <w:p w14:paraId="21A72F55">
      <w:pPr>
        <w:jc w:val="both"/>
        <w:rPr>
          <w:rFonts w:ascii="Verdana" w:hAnsi="Verdana"/>
          <w:sz w:val="20"/>
          <w:szCs w:val="20"/>
        </w:rPr>
      </w:pPr>
    </w:p>
    <w:p w14:paraId="0850588D">
      <w:pPr>
        <w:jc w:val="both"/>
        <w:rPr>
          <w:rFonts w:ascii="Verdana" w:hAnsi="Verdana"/>
          <w:sz w:val="20"/>
          <w:szCs w:val="20"/>
        </w:rPr>
      </w:pPr>
    </w:p>
    <w:p w14:paraId="60FF127F">
      <w:pPr>
        <w:jc w:val="both"/>
        <w:rPr>
          <w:rFonts w:ascii="Verdana" w:hAnsi="Verdana"/>
          <w:sz w:val="20"/>
          <w:szCs w:val="20"/>
        </w:rPr>
      </w:pPr>
      <w:r>
        <w:rPr>
          <w:rFonts w:ascii="Verdana" w:hAnsi="Verdana"/>
          <w:sz w:val="20"/>
          <w:szCs w:val="20"/>
        </w:rPr>
        <w:t xml:space="preserve">                               </w:t>
      </w:r>
    </w:p>
    <w:p w14:paraId="79EE24FB">
      <w:pPr>
        <w:jc w:val="both"/>
        <w:rPr>
          <w:rFonts w:ascii="Verdana" w:hAnsi="Verdana"/>
          <w:sz w:val="20"/>
          <w:szCs w:val="20"/>
        </w:rPr>
      </w:pPr>
      <w:r>
        <w:rPr>
          <w:rFonts w:ascii="Verdana" w:hAnsi="Verdana"/>
          <w:sz w:val="20"/>
          <w:szCs w:val="20"/>
        </w:rPr>
        <w:t xml:space="preserve"> </w:t>
      </w:r>
    </w:p>
    <w:p w14:paraId="229DE48D">
      <w:pPr>
        <w:jc w:val="both"/>
        <w:rPr>
          <w:rFonts w:ascii="Verdana" w:hAnsi="Verdana"/>
          <w:sz w:val="20"/>
          <w:szCs w:val="20"/>
        </w:rPr>
      </w:pPr>
      <w:r>
        <w:rPr>
          <w:rFonts w:ascii="Verdana" w:hAnsi="Verdana"/>
          <w:sz w:val="20"/>
          <w:szCs w:val="20"/>
        </w:rPr>
        <w:t xml:space="preserve">                                                                               </w:t>
      </w:r>
      <w:r>
        <w:rPr>
          <w:rFonts w:ascii="Verdana" w:hAnsi="Verdana"/>
          <w:b/>
          <w:bCs/>
          <w:sz w:val="20"/>
          <w:szCs w:val="20"/>
        </w:rPr>
        <w:t>Ο ΔΗΜΑΡΧΟΣ  ΛΕΒΑΔΕΩΝ</w:t>
      </w:r>
    </w:p>
    <w:p w14:paraId="4E8A0EAE">
      <w:pPr>
        <w:jc w:val="both"/>
        <w:rPr>
          <w:rFonts w:ascii="Verdana" w:hAnsi="Verdana"/>
          <w:b/>
          <w:bCs/>
          <w:sz w:val="20"/>
          <w:szCs w:val="20"/>
        </w:rPr>
      </w:pPr>
    </w:p>
    <w:p w14:paraId="5C67B31E">
      <w:pPr>
        <w:jc w:val="both"/>
        <w:rPr>
          <w:rFonts w:ascii="Verdana" w:hAnsi="Verdana"/>
          <w:b/>
          <w:bCs/>
          <w:sz w:val="20"/>
          <w:szCs w:val="20"/>
        </w:rPr>
      </w:pPr>
    </w:p>
    <w:p w14:paraId="554229B1">
      <w:pPr>
        <w:jc w:val="both"/>
        <w:rPr>
          <w:rFonts w:ascii="Verdana" w:hAnsi="Verdana"/>
          <w:b/>
          <w:bCs/>
          <w:sz w:val="20"/>
          <w:szCs w:val="20"/>
        </w:rPr>
      </w:pPr>
      <w:r>
        <w:rPr>
          <w:rFonts w:ascii="Verdana" w:hAnsi="Verdana"/>
          <w:b/>
          <w:bCs/>
          <w:sz w:val="20"/>
          <w:szCs w:val="20"/>
        </w:rPr>
        <w:t xml:space="preserve">                                                                                ΚΑΡΑΜΑΝΗΣ Κ. ΔΗΜΗΤΡΙΟΣ</w:t>
      </w:r>
    </w:p>
    <w:p w14:paraId="63134596">
      <w:pPr>
        <w:jc w:val="both"/>
        <w:rPr>
          <w:rFonts w:ascii="Verdana" w:hAnsi="Verdana"/>
          <w:b/>
          <w:bCs/>
          <w:sz w:val="20"/>
          <w:szCs w:val="20"/>
        </w:rPr>
      </w:pPr>
      <w:r>
        <w:rPr>
          <w:rFonts w:ascii="Verdana" w:hAnsi="Verdana"/>
          <w:b/>
          <w:bCs/>
          <w:sz w:val="20"/>
          <w:szCs w:val="20"/>
        </w:rPr>
        <w:t xml:space="preserve">  </w:t>
      </w:r>
    </w:p>
    <w:p w14:paraId="7659E02B">
      <w:pPr>
        <w:jc w:val="both"/>
        <w:rPr>
          <w:rFonts w:ascii="Verdana" w:hAnsi="Verdana"/>
          <w:b/>
          <w:bCs/>
          <w:sz w:val="20"/>
          <w:szCs w:val="20"/>
        </w:rPr>
      </w:pPr>
      <w:r>
        <w:rPr>
          <w:rFonts w:ascii="Verdana" w:hAnsi="Verdana"/>
          <w:b/>
          <w:bCs/>
          <w:sz w:val="20"/>
          <w:szCs w:val="20"/>
        </w:rPr>
        <w:t xml:space="preserve">                                                             </w:t>
      </w:r>
    </w:p>
    <w:p w14:paraId="6B8415CB">
      <w:pPr>
        <w:jc w:val="both"/>
        <w:rPr>
          <w:rFonts w:ascii="Verdana" w:hAnsi="Verdana"/>
          <w:b/>
          <w:bCs/>
          <w:sz w:val="20"/>
          <w:szCs w:val="20"/>
        </w:rPr>
      </w:pPr>
    </w:p>
    <w:p w14:paraId="07AC88CA">
      <w:pPr>
        <w:jc w:val="both"/>
        <w:rPr>
          <w:rFonts w:ascii="Verdana" w:hAnsi="Verdana"/>
          <w:sz w:val="20"/>
          <w:szCs w:val="20"/>
        </w:rPr>
      </w:pPr>
    </w:p>
    <w:p w14:paraId="5F91BBF7">
      <w:pPr>
        <w:jc w:val="both"/>
        <w:rPr>
          <w:rFonts w:ascii="Verdana" w:hAnsi="Verdana"/>
          <w:sz w:val="20"/>
          <w:szCs w:val="20"/>
        </w:rPr>
      </w:pPr>
    </w:p>
    <w:p w14:paraId="34CB1AA8">
      <w:pPr>
        <w:jc w:val="both"/>
        <w:rPr>
          <w:rFonts w:ascii="Verdana" w:hAnsi="Verdana"/>
          <w:sz w:val="20"/>
          <w:szCs w:val="20"/>
        </w:rPr>
      </w:pPr>
    </w:p>
    <w:p w14:paraId="4578FA4A">
      <w:pPr>
        <w:jc w:val="both"/>
        <w:rPr>
          <w:rFonts w:ascii="Verdana" w:hAnsi="Verdana"/>
          <w:sz w:val="20"/>
          <w:szCs w:val="20"/>
        </w:rPr>
      </w:pPr>
    </w:p>
    <w:p w14:paraId="63F5A150">
      <w:pPr>
        <w:jc w:val="both"/>
        <w:rPr>
          <w:rFonts w:ascii="Verdana" w:hAnsi="Verdana"/>
          <w:sz w:val="20"/>
          <w:szCs w:val="20"/>
        </w:rPr>
      </w:pPr>
    </w:p>
    <w:p w14:paraId="1A3275E9">
      <w:pPr>
        <w:jc w:val="both"/>
        <w:rPr>
          <w:rFonts w:ascii="Verdana" w:hAnsi="Verdana"/>
          <w:sz w:val="20"/>
          <w:szCs w:val="20"/>
        </w:rPr>
      </w:pPr>
      <w:r>
        <w:rPr>
          <w:rFonts w:ascii="Verdana" w:hAnsi="Verdana"/>
          <w:sz w:val="20"/>
          <w:szCs w:val="20"/>
        </w:rPr>
        <w:t xml:space="preserve">                                                               </w:t>
      </w:r>
    </w:p>
    <w:p w14:paraId="3061ED7B">
      <w:pPr>
        <w:jc w:val="both"/>
        <w:rPr>
          <w:rFonts w:ascii="Verdana" w:hAnsi="Verdana"/>
          <w:sz w:val="20"/>
          <w:szCs w:val="20"/>
        </w:rPr>
      </w:pPr>
      <w:r>
        <w:rPr>
          <w:rFonts w:ascii="Verdana" w:hAnsi="Verdana"/>
          <w:sz w:val="20"/>
          <w:szCs w:val="20"/>
        </w:rPr>
        <w:t xml:space="preserve">                                                              </w:t>
      </w:r>
    </w:p>
    <w:p w14:paraId="398BD56E">
      <w:pPr>
        <w:jc w:val="both"/>
        <w:rPr>
          <w:rFonts w:ascii="Verdana" w:hAnsi="Verdana"/>
          <w:sz w:val="20"/>
          <w:szCs w:val="20"/>
        </w:rPr>
      </w:pPr>
      <w:r>
        <w:rPr>
          <w:rFonts w:ascii="Verdana" w:hAnsi="Verdana"/>
          <w:sz w:val="20"/>
          <w:szCs w:val="20"/>
        </w:rPr>
        <w:t xml:space="preserve"> </w:t>
      </w:r>
    </w:p>
    <w:p w14:paraId="6E944345">
      <w:pPr>
        <w:jc w:val="both"/>
        <w:rPr>
          <w:rFonts w:ascii="Verdana" w:hAnsi="Verdana"/>
          <w:sz w:val="20"/>
          <w:szCs w:val="20"/>
        </w:rPr>
      </w:pPr>
    </w:p>
    <w:p w14:paraId="6A755D38"/>
    <w:p w14:paraId="77EAA46B"/>
    <w:p w14:paraId="5F09BBD8"/>
    <w:p w14:paraId="24DED106">
      <w:r>
        <w:t xml:space="preserve">                                                    </w:t>
      </w:r>
    </w:p>
    <w:p w14:paraId="504EF1DA"/>
    <w:p w14:paraId="2D669B69"/>
    <w:p w14:paraId="75A520AD">
      <w:pPr>
        <w:rPr>
          <w:b/>
          <w:bCs/>
        </w:rPr>
      </w:pPr>
      <w:r>
        <w:rPr>
          <w:b/>
          <w:bCs/>
        </w:rPr>
        <w:t xml:space="preserve">                             </w:t>
      </w:r>
    </w:p>
    <w:sectPr>
      <w:headerReference r:id="rId3" w:type="default"/>
      <w:pgSz w:w="11906" w:h="16838"/>
      <w:pgMar w:top="1134" w:right="1134" w:bottom="1134" w:left="1134" w:header="720" w:footer="0" w:gutter="0"/>
      <w:cols w:space="720" w:num="1"/>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panose1 w:val="02020603050405020304"/>
    <w:charset w:val="A1"/>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Tahoma">
    <w:panose1 w:val="020B0604030504040204"/>
    <w:charset w:val="A1"/>
    <w:family w:val="swiss"/>
    <w:pitch w:val="default"/>
    <w:sig w:usb0="E1002EFF" w:usb1="C000605B" w:usb2="00000029" w:usb3="00000000" w:csb0="200101FF" w:csb1="20280000"/>
  </w:font>
  <w:font w:name="Mangal">
    <w:altName w:val="Liberation Mono"/>
    <w:panose1 w:val="00000400000000000000"/>
    <w:charset w:val="01"/>
    <w:family w:val="roman"/>
    <w:pitch w:val="default"/>
    <w:sig w:usb0="00000000" w:usb1="00000000" w:usb2="00000000" w:usb3="00000000" w:csb0="00000000" w:csb1="00000000"/>
  </w:font>
  <w:font w:name="Liberation Sans">
    <w:panose1 w:val="020B0604020202020204"/>
    <w:charset w:val="A1"/>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Cambria Math">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ED51">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autoHyphenation/>
  <w:characterSpacingControl w:val="doNotCompress"/>
  <w:compat>
    <w:compatSetting w:name="compatibilityMode" w:uri="http://schemas.microsoft.com/office/word" w:val="12"/>
  </w:compat>
  <w:rsids>
    <w:rsidRoot w:val="00631B14"/>
    <w:rsid w:val="000040C4"/>
    <w:rsid w:val="000067BA"/>
    <w:rsid w:val="000442D5"/>
    <w:rsid w:val="0005696E"/>
    <w:rsid w:val="000712AB"/>
    <w:rsid w:val="000765C2"/>
    <w:rsid w:val="00077194"/>
    <w:rsid w:val="000804CB"/>
    <w:rsid w:val="00080BB9"/>
    <w:rsid w:val="000860DE"/>
    <w:rsid w:val="000947B7"/>
    <w:rsid w:val="000B1F34"/>
    <w:rsid w:val="000C3AC8"/>
    <w:rsid w:val="000E1672"/>
    <w:rsid w:val="000F47BA"/>
    <w:rsid w:val="0013099B"/>
    <w:rsid w:val="00135367"/>
    <w:rsid w:val="0017175D"/>
    <w:rsid w:val="00192DDC"/>
    <w:rsid w:val="001D73E6"/>
    <w:rsid w:val="001E2326"/>
    <w:rsid w:val="001E5CC6"/>
    <w:rsid w:val="001F29CE"/>
    <w:rsid w:val="00205D7F"/>
    <w:rsid w:val="00214BDB"/>
    <w:rsid w:val="00263672"/>
    <w:rsid w:val="002E607A"/>
    <w:rsid w:val="002F06E7"/>
    <w:rsid w:val="002F0D84"/>
    <w:rsid w:val="002F66B3"/>
    <w:rsid w:val="003335DE"/>
    <w:rsid w:val="00341DC5"/>
    <w:rsid w:val="00343F09"/>
    <w:rsid w:val="00344761"/>
    <w:rsid w:val="00356A77"/>
    <w:rsid w:val="003670BD"/>
    <w:rsid w:val="00367F1B"/>
    <w:rsid w:val="003811C5"/>
    <w:rsid w:val="00383E4A"/>
    <w:rsid w:val="00384C13"/>
    <w:rsid w:val="003A05D5"/>
    <w:rsid w:val="003C3265"/>
    <w:rsid w:val="003D0A3D"/>
    <w:rsid w:val="003E2FF7"/>
    <w:rsid w:val="004031F1"/>
    <w:rsid w:val="004036A3"/>
    <w:rsid w:val="00412493"/>
    <w:rsid w:val="00412D34"/>
    <w:rsid w:val="0042083E"/>
    <w:rsid w:val="004249B1"/>
    <w:rsid w:val="00425135"/>
    <w:rsid w:val="0045167A"/>
    <w:rsid w:val="00462274"/>
    <w:rsid w:val="004A3C2A"/>
    <w:rsid w:val="004C472D"/>
    <w:rsid w:val="004E22B8"/>
    <w:rsid w:val="004E2E58"/>
    <w:rsid w:val="004F6680"/>
    <w:rsid w:val="0051374A"/>
    <w:rsid w:val="00524C46"/>
    <w:rsid w:val="005665C5"/>
    <w:rsid w:val="00573F1C"/>
    <w:rsid w:val="005B3D8D"/>
    <w:rsid w:val="005F15E9"/>
    <w:rsid w:val="006152E9"/>
    <w:rsid w:val="00615ACA"/>
    <w:rsid w:val="00615E21"/>
    <w:rsid w:val="00631B14"/>
    <w:rsid w:val="00635084"/>
    <w:rsid w:val="00637E86"/>
    <w:rsid w:val="00640A97"/>
    <w:rsid w:val="00646959"/>
    <w:rsid w:val="006701E2"/>
    <w:rsid w:val="00685AD6"/>
    <w:rsid w:val="006925EE"/>
    <w:rsid w:val="0069532D"/>
    <w:rsid w:val="006A7553"/>
    <w:rsid w:val="006B4850"/>
    <w:rsid w:val="006C57D8"/>
    <w:rsid w:val="006F0729"/>
    <w:rsid w:val="006F2D62"/>
    <w:rsid w:val="006F5884"/>
    <w:rsid w:val="0070237D"/>
    <w:rsid w:val="0071296B"/>
    <w:rsid w:val="007241C8"/>
    <w:rsid w:val="00735AB3"/>
    <w:rsid w:val="00741F89"/>
    <w:rsid w:val="00743B09"/>
    <w:rsid w:val="00745348"/>
    <w:rsid w:val="007458B7"/>
    <w:rsid w:val="007844C8"/>
    <w:rsid w:val="00805338"/>
    <w:rsid w:val="00863447"/>
    <w:rsid w:val="00870121"/>
    <w:rsid w:val="008813F7"/>
    <w:rsid w:val="008872EE"/>
    <w:rsid w:val="008C0C68"/>
    <w:rsid w:val="008D19F6"/>
    <w:rsid w:val="008D2B1F"/>
    <w:rsid w:val="008D3D6B"/>
    <w:rsid w:val="008E0E5C"/>
    <w:rsid w:val="008F53B8"/>
    <w:rsid w:val="00925710"/>
    <w:rsid w:val="009260A0"/>
    <w:rsid w:val="00930E4B"/>
    <w:rsid w:val="00971394"/>
    <w:rsid w:val="0099448A"/>
    <w:rsid w:val="009C13CE"/>
    <w:rsid w:val="009C5052"/>
    <w:rsid w:val="009D5357"/>
    <w:rsid w:val="009E22D8"/>
    <w:rsid w:val="00A05EBA"/>
    <w:rsid w:val="00A21CC1"/>
    <w:rsid w:val="00A227B0"/>
    <w:rsid w:val="00A33A83"/>
    <w:rsid w:val="00A34EC0"/>
    <w:rsid w:val="00A35B79"/>
    <w:rsid w:val="00A42FE7"/>
    <w:rsid w:val="00A516DE"/>
    <w:rsid w:val="00A642CD"/>
    <w:rsid w:val="00A64A6A"/>
    <w:rsid w:val="00A74B50"/>
    <w:rsid w:val="00A757D5"/>
    <w:rsid w:val="00A92494"/>
    <w:rsid w:val="00A97786"/>
    <w:rsid w:val="00AC2011"/>
    <w:rsid w:val="00AC256D"/>
    <w:rsid w:val="00AD24D8"/>
    <w:rsid w:val="00AD4A19"/>
    <w:rsid w:val="00AE6101"/>
    <w:rsid w:val="00B2246F"/>
    <w:rsid w:val="00B433E0"/>
    <w:rsid w:val="00B5116A"/>
    <w:rsid w:val="00B53CB0"/>
    <w:rsid w:val="00B73ABA"/>
    <w:rsid w:val="00B86874"/>
    <w:rsid w:val="00BA20D8"/>
    <w:rsid w:val="00BA36C0"/>
    <w:rsid w:val="00BF4376"/>
    <w:rsid w:val="00C059FF"/>
    <w:rsid w:val="00C15312"/>
    <w:rsid w:val="00C353DD"/>
    <w:rsid w:val="00C36E4C"/>
    <w:rsid w:val="00C416A7"/>
    <w:rsid w:val="00C72EAC"/>
    <w:rsid w:val="00C8284F"/>
    <w:rsid w:val="00C8380B"/>
    <w:rsid w:val="00C8441C"/>
    <w:rsid w:val="00C95E49"/>
    <w:rsid w:val="00CA15EF"/>
    <w:rsid w:val="00CB61A6"/>
    <w:rsid w:val="00CC15E5"/>
    <w:rsid w:val="00CC393C"/>
    <w:rsid w:val="00CE0024"/>
    <w:rsid w:val="00CE4785"/>
    <w:rsid w:val="00D051C8"/>
    <w:rsid w:val="00D24582"/>
    <w:rsid w:val="00D277D7"/>
    <w:rsid w:val="00D31DB3"/>
    <w:rsid w:val="00D40D06"/>
    <w:rsid w:val="00D52067"/>
    <w:rsid w:val="00D54F7F"/>
    <w:rsid w:val="00D56B68"/>
    <w:rsid w:val="00D72D4B"/>
    <w:rsid w:val="00D857C4"/>
    <w:rsid w:val="00D900A2"/>
    <w:rsid w:val="00D93A9F"/>
    <w:rsid w:val="00D9752F"/>
    <w:rsid w:val="00DC6923"/>
    <w:rsid w:val="00DF1F80"/>
    <w:rsid w:val="00E12D8C"/>
    <w:rsid w:val="00E14834"/>
    <w:rsid w:val="00E40AA3"/>
    <w:rsid w:val="00E67AB3"/>
    <w:rsid w:val="00E82467"/>
    <w:rsid w:val="00E97369"/>
    <w:rsid w:val="00EB6650"/>
    <w:rsid w:val="00EF6E08"/>
    <w:rsid w:val="00F02ABB"/>
    <w:rsid w:val="00F11AEC"/>
    <w:rsid w:val="00F33D7C"/>
    <w:rsid w:val="00F37492"/>
    <w:rsid w:val="00F92FFC"/>
    <w:rsid w:val="00F9536A"/>
    <w:rsid w:val="00FA4D78"/>
    <w:rsid w:val="00FB08F8"/>
    <w:rsid w:val="00FB1E26"/>
    <w:rsid w:val="00FB2EF3"/>
    <w:rsid w:val="00FF3C6D"/>
    <w:rsid w:val="00FF406E"/>
    <w:rsid w:val="00FF630B"/>
    <w:rsid w:val="05843DF1"/>
    <w:rsid w:val="069A2E4F"/>
    <w:rsid w:val="14A468E2"/>
    <w:rsid w:val="1547519C"/>
    <w:rsid w:val="15F256EA"/>
    <w:rsid w:val="17CB79CC"/>
    <w:rsid w:val="18E82EF1"/>
    <w:rsid w:val="19703303"/>
    <w:rsid w:val="1DCB3E4B"/>
    <w:rsid w:val="31560A91"/>
    <w:rsid w:val="397B7C1A"/>
    <w:rsid w:val="419076A7"/>
    <w:rsid w:val="43BC22CC"/>
    <w:rsid w:val="460B117D"/>
    <w:rsid w:val="48BF4F5C"/>
    <w:rsid w:val="49BD52B6"/>
    <w:rsid w:val="4BE8491F"/>
    <w:rsid w:val="50344481"/>
    <w:rsid w:val="5CEC7558"/>
    <w:rsid w:val="62CD4EE4"/>
    <w:rsid w:val="68027B90"/>
    <w:rsid w:val="6C947344"/>
    <w:rsid w:val="6E2A6016"/>
    <w:rsid w:val="708E3530"/>
    <w:rsid w:val="7340183B"/>
    <w:rsid w:val="73697499"/>
    <w:rsid w:val="76AE72CA"/>
    <w:rsid w:val="78AF561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Liberation Serif" w:hAnsi="Liberation Serif" w:eastAsia="NSimSun" w:cs="Lucida Sans"/>
      <w:kern w:val="2"/>
      <w:sz w:val="24"/>
      <w:szCs w:val="24"/>
      <w:lang w:val="el-GR" w:eastAsia="zh-CN" w:bidi="hi-IN"/>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uiPriority w:val="99"/>
    <w:rPr>
      <w:rFonts w:ascii="Tahoma" w:hAnsi="Tahoma" w:cs="Mangal"/>
      <w:sz w:val="16"/>
      <w:szCs w:val="14"/>
    </w:rPr>
  </w:style>
  <w:style w:type="paragraph" w:styleId="5">
    <w:name w:val="Body Text"/>
    <w:basedOn w:val="1"/>
    <w:uiPriority w:val="0"/>
    <w:pPr>
      <w:spacing w:after="140" w:line="276" w:lineRule="auto"/>
    </w:pPr>
  </w:style>
  <w:style w:type="paragraph" w:styleId="6">
    <w:name w:val="List"/>
    <w:basedOn w:val="5"/>
    <w:qFormat/>
    <w:uiPriority w:val="0"/>
  </w:style>
  <w:style w:type="character" w:styleId="7">
    <w:name w:val="Strong"/>
    <w:qFormat/>
    <w:uiPriority w:val="0"/>
    <w:rPr>
      <w:b/>
    </w:rPr>
  </w:style>
  <w:style w:type="character" w:customStyle="1" w:styleId="8">
    <w:name w:val="Κεφαλίδα Char"/>
    <w:basedOn w:val="2"/>
    <w:qFormat/>
    <w:uiPriority w:val="0"/>
  </w:style>
  <w:style w:type="paragraph" w:customStyle="1" w:styleId="9">
    <w:name w:val="Επικεφαλίδα"/>
    <w:basedOn w:val="1"/>
    <w:next w:val="5"/>
    <w:qFormat/>
    <w:uiPriority w:val="0"/>
    <w:pPr>
      <w:keepNext/>
      <w:spacing w:before="240" w:after="120"/>
    </w:pPr>
    <w:rPr>
      <w:rFonts w:ascii="Liberation Sans" w:hAnsi="Liberation Sans" w:eastAsia="Microsoft YaHei"/>
      <w:sz w:val="28"/>
      <w:szCs w:val="28"/>
    </w:rPr>
  </w:style>
  <w:style w:type="paragraph" w:customStyle="1" w:styleId="10">
    <w:name w:val="Caption1"/>
    <w:basedOn w:val="1"/>
    <w:qFormat/>
    <w:uiPriority w:val="0"/>
    <w:pPr>
      <w:suppressLineNumbers/>
      <w:spacing w:before="120" w:after="120"/>
    </w:pPr>
    <w:rPr>
      <w:i/>
      <w:iCs/>
    </w:rPr>
  </w:style>
  <w:style w:type="paragraph" w:customStyle="1" w:styleId="11">
    <w:name w:val="Ευρετήριο"/>
    <w:basedOn w:val="1"/>
    <w:qFormat/>
    <w:uiPriority w:val="0"/>
    <w:pPr>
      <w:suppressLineNumbers/>
    </w:pPr>
  </w:style>
  <w:style w:type="paragraph" w:customStyle="1" w:styleId="12">
    <w:name w:val="DocumentMap"/>
    <w:qFormat/>
    <w:uiPriority w:val="0"/>
    <w:pPr>
      <w:suppressAutoHyphens/>
    </w:pPr>
    <w:rPr>
      <w:rFonts w:ascii="Times New Roman" w:hAnsi="Times New Roman" w:eastAsia="Cambria Math" w:cs="Times New Roman"/>
      <w:kern w:val="2"/>
      <w:sz w:val="20"/>
      <w:szCs w:val="20"/>
      <w:lang w:val="el-GR" w:eastAsia="el-GR" w:bidi="ar-SA"/>
    </w:rPr>
  </w:style>
  <w:style w:type="paragraph" w:customStyle="1" w:styleId="13">
    <w:name w:val="Κεφαλίδα και υποσέλιδο"/>
    <w:basedOn w:val="1"/>
    <w:qFormat/>
    <w:uiPriority w:val="0"/>
  </w:style>
  <w:style w:type="paragraph" w:customStyle="1" w:styleId="14">
    <w:name w:val="Header1"/>
    <w:basedOn w:val="13"/>
    <w:uiPriority w:val="0"/>
  </w:style>
  <w:style w:type="character" w:customStyle="1" w:styleId="15">
    <w:name w:val="Κείμενο πλαισίου Char"/>
    <w:basedOn w:val="2"/>
    <w:link w:val="4"/>
    <w:semiHidden/>
    <w:uiPriority w:val="99"/>
    <w:rPr>
      <w:rFonts w:ascii="Tahoma" w:hAnsi="Tahoma" w:cs="Mangal"/>
      <w:sz w:val="16"/>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2\Desktop\&#916;&#921;&#913;&#922;&#919;&#929;&#933;&#926;&#919;%20%20&#928;&#917;&#929;&#921;&#928;&#932;&#917;&#929;&#927;&#933;%20&#931;&#932;&#919;&#925;%20&#913;&#915;&#921;&#913;%20&#928;&#913;&#929;&#913;&#931;&#922;&#917;&#933;&#91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ΔΙΑΚΗΡΥΞΗ  ΠΕΡΙΠΤΕΡΟΥ ΣΤΗΝ ΑΓΙΑ ΠΑΡΑΣΚΕΥΗ</Template>
  <Pages>9</Pages>
  <Words>5067</Words>
  <Characters>27364</Characters>
  <Lines>228</Lines>
  <Paragraphs>64</Paragraphs>
  <TotalTime>291</TotalTime>
  <ScaleCrop>false</ScaleCrop>
  <LinksUpToDate>false</LinksUpToDate>
  <CharactersWithSpaces>32367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2023-06-07T05:50:00Z</dcterms:created>
  <dc:creator>PC 2</dc:creator>
  <cp:lastModifiedBy>Μπάκας Βασίλης</cp:lastModifiedBy>
  <cp:lastPrinted>2024-05-13T06:12:00Z</cp:lastPrinted>
  <dcterms:modified xsi:type="dcterms:W3CDTF">2026-02-24T06:31:42Z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5BDB19ACC01443A18D68E4A00B36425F_12</vt:lpwstr>
  </property>
</Properties>
</file>