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B57E91">
      <w:r>
        <w:t xml:space="preserve">   </w:t>
      </w:r>
    </w:p>
    <w:p w14:paraId="6E8CAE8C">
      <w:pPr>
        <w:rPr>
          <w:rFonts w:hint="default"/>
          <w:lang w:val="en-US"/>
        </w:rPr>
      </w:pPr>
      <w:r>
        <w:rPr>
          <w:lang w:eastAsia="el-GR" w:bidi="ar-SA"/>
        </w:rPr>
        <w:drawing>
          <wp:inline distT="0" distB="0" distL="0" distR="0">
            <wp:extent cx="584835" cy="573405"/>
            <wp:effectExtent l="0" t="0" r="0" b="0"/>
            <wp:docPr id="1" name="Εικόνα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1"/>
                    <pic:cNvPicPr>
                      <a:picLocks noChangeAspect="1" noChangeArrowheads="1"/>
                    </pic:cNvPicPr>
                  </pic:nvPicPr>
                  <pic:blipFill>
                    <a:blip r:embed="rId5" cstate="print"/>
                    <a:srcRect l="-58" t="-59" r="-58" b="-59"/>
                    <a:stretch>
                      <a:fillRect/>
                    </a:stretch>
                  </pic:blipFill>
                  <pic:spPr>
                    <a:xfrm>
                      <a:off x="0" y="0"/>
                      <a:ext cx="584835" cy="573405"/>
                    </a:xfrm>
                    <a:prstGeom prst="rect">
                      <a:avLst/>
                    </a:prstGeom>
                  </pic:spPr>
                </pic:pic>
              </a:graphicData>
            </a:graphic>
          </wp:inline>
        </w:drawing>
      </w:r>
      <w:r>
        <w:rPr>
          <w:rFonts w:hint="default"/>
          <w:lang w:val="en-US" w:eastAsia="el-GR" w:bidi="ar-SA"/>
        </w:rPr>
        <w:t xml:space="preserve">                                                                                    </w:t>
      </w:r>
    </w:p>
    <w:p w14:paraId="2145BFE1">
      <w:pPr>
        <w:jc w:val="both"/>
        <w:rPr>
          <w:rFonts w:ascii="Verdana" w:hAnsi="Verdana"/>
          <w:b/>
          <w:bCs/>
          <w:sz w:val="20"/>
          <w:szCs w:val="20"/>
        </w:rPr>
      </w:pPr>
      <w:r>
        <w:rPr>
          <w:rFonts w:ascii="Verdana" w:hAnsi="Verdana"/>
          <w:b/>
          <w:bCs/>
          <w:sz w:val="20"/>
          <w:szCs w:val="20"/>
        </w:rPr>
        <w:t xml:space="preserve">ΕΛΛΗΝΙΚΗ ΔΗΜΟΚΡΑΤΙΑ                                              </w:t>
      </w:r>
      <w:r>
        <w:rPr>
          <w:rFonts w:hint="default" w:ascii="Verdana" w:hAnsi="Verdana"/>
          <w:b/>
          <w:bCs/>
          <w:sz w:val="20"/>
          <w:szCs w:val="20"/>
          <w:lang w:val="el-GR"/>
        </w:rPr>
        <w:t xml:space="preserve"> </w:t>
      </w:r>
      <w:r>
        <w:rPr>
          <w:rFonts w:ascii="Verdana" w:hAnsi="Verdana"/>
          <w:b/>
          <w:bCs/>
          <w:sz w:val="20"/>
          <w:szCs w:val="20"/>
        </w:rPr>
        <w:t xml:space="preserve">              </w:t>
      </w:r>
    </w:p>
    <w:p w14:paraId="1B7A5A77">
      <w:pPr>
        <w:jc w:val="both"/>
        <w:rPr>
          <w:rFonts w:ascii="Verdana" w:hAnsi="Verdana"/>
          <w:b/>
          <w:bCs/>
          <w:sz w:val="20"/>
          <w:szCs w:val="20"/>
        </w:rPr>
      </w:pPr>
      <w:r>
        <w:rPr>
          <w:rFonts w:ascii="Verdana" w:hAnsi="Verdana"/>
          <w:b/>
          <w:bCs/>
          <w:sz w:val="20"/>
          <w:szCs w:val="20"/>
        </w:rPr>
        <w:t xml:space="preserve">ΝΟΜΟΣ ΒΟΙΩΤΙΑΣ                                                          </w:t>
      </w:r>
      <w:r>
        <w:rPr>
          <w:rFonts w:hint="default" w:ascii="Verdana" w:hAnsi="Verdana"/>
          <w:b/>
          <w:bCs/>
          <w:sz w:val="20"/>
          <w:szCs w:val="20"/>
          <w:lang w:val="el-GR"/>
        </w:rPr>
        <w:t xml:space="preserve"> </w:t>
      </w:r>
      <w:r>
        <w:rPr>
          <w:rFonts w:ascii="Verdana" w:hAnsi="Verdana"/>
          <w:b/>
          <w:bCs/>
          <w:sz w:val="20"/>
          <w:szCs w:val="20"/>
        </w:rPr>
        <w:t xml:space="preserve">                                                </w:t>
      </w:r>
    </w:p>
    <w:p w14:paraId="59DE634C">
      <w:pPr>
        <w:jc w:val="both"/>
        <w:rPr>
          <w:rFonts w:ascii="Verdana" w:hAnsi="Verdana"/>
          <w:b/>
          <w:bCs/>
          <w:sz w:val="20"/>
          <w:szCs w:val="20"/>
        </w:rPr>
      </w:pPr>
      <w:r>
        <w:rPr>
          <w:rFonts w:ascii="Verdana" w:hAnsi="Verdana"/>
          <w:b/>
          <w:bCs/>
          <w:sz w:val="20"/>
          <w:szCs w:val="20"/>
        </w:rPr>
        <w:t xml:space="preserve">ΔΗΜΟΣ ΛΕΒΑΔΕΩΝ                                                                         </w:t>
      </w:r>
    </w:p>
    <w:p w14:paraId="7E16308A">
      <w:pPr>
        <w:jc w:val="both"/>
        <w:rPr>
          <w:rFonts w:ascii="Verdana" w:hAnsi="Verdana"/>
          <w:b/>
          <w:bCs/>
          <w:sz w:val="20"/>
          <w:szCs w:val="20"/>
        </w:rPr>
      </w:pPr>
      <w:r>
        <w:rPr>
          <w:rFonts w:ascii="Verdana" w:hAnsi="Verdana"/>
          <w:b/>
          <w:bCs/>
          <w:sz w:val="20"/>
          <w:szCs w:val="20"/>
        </w:rPr>
        <w:t xml:space="preserve">Δ/ΝΣΗ ΟΙΚΟΝΟΜΙΚΩΝ ΥΠΗΡΕΣΙΩΝ                                     </w:t>
      </w:r>
    </w:p>
    <w:p w14:paraId="5165E2D2">
      <w:pPr>
        <w:jc w:val="both"/>
        <w:rPr>
          <w:rFonts w:ascii="Verdana" w:hAnsi="Verdana"/>
          <w:b/>
          <w:bCs/>
          <w:sz w:val="20"/>
          <w:szCs w:val="20"/>
        </w:rPr>
      </w:pPr>
      <w:r>
        <w:rPr>
          <w:rFonts w:ascii="Verdana" w:hAnsi="Verdana"/>
          <w:b/>
          <w:bCs/>
          <w:sz w:val="20"/>
          <w:szCs w:val="20"/>
        </w:rPr>
        <w:t xml:space="preserve">ΤΜΗΜΑ ΕΣΟΔΩΝ &amp; ΠΕΡΙΟΥΣΙΑΣ </w:t>
      </w:r>
    </w:p>
    <w:p w14:paraId="36F2FD36">
      <w:pPr>
        <w:jc w:val="both"/>
        <w:rPr>
          <w:rFonts w:ascii="Verdana" w:hAnsi="Verdana"/>
          <w:b/>
          <w:bCs/>
          <w:sz w:val="20"/>
          <w:szCs w:val="20"/>
        </w:rPr>
      </w:pPr>
      <w:r>
        <w:rPr>
          <w:rFonts w:ascii="Verdana" w:hAnsi="Verdana"/>
          <w:b/>
          <w:bCs/>
          <w:sz w:val="20"/>
          <w:szCs w:val="20"/>
        </w:rPr>
        <w:t xml:space="preserve">Δ/ΝΣΗ : ΠΛ. Λ. ΚΑΤΣΩΝΗ                                               </w:t>
      </w:r>
    </w:p>
    <w:p w14:paraId="748382DE">
      <w:pPr>
        <w:jc w:val="both"/>
        <w:rPr>
          <w:rFonts w:ascii="Verdana" w:hAnsi="Verdana"/>
          <w:b/>
          <w:bCs/>
          <w:sz w:val="20"/>
          <w:szCs w:val="20"/>
        </w:rPr>
      </w:pPr>
      <w:r>
        <w:rPr>
          <w:rFonts w:ascii="Verdana" w:hAnsi="Verdana"/>
          <w:b/>
          <w:bCs/>
          <w:sz w:val="20"/>
          <w:szCs w:val="20"/>
        </w:rPr>
        <w:t xml:space="preserve">Ταχ. Κωδ. 32131-ΛΙΒΑΔΕΙΑ       </w:t>
      </w:r>
    </w:p>
    <w:p w14:paraId="600EA069">
      <w:pPr>
        <w:jc w:val="both"/>
        <w:rPr>
          <w:rFonts w:ascii="Verdana" w:hAnsi="Verdana"/>
          <w:b/>
          <w:bCs/>
          <w:sz w:val="20"/>
          <w:szCs w:val="20"/>
        </w:rPr>
      </w:pPr>
      <w:r>
        <w:rPr>
          <w:rFonts w:ascii="Verdana" w:hAnsi="Verdana"/>
          <w:b/>
          <w:bCs/>
          <w:sz w:val="20"/>
          <w:szCs w:val="20"/>
        </w:rPr>
        <w:t xml:space="preserve">                           </w:t>
      </w:r>
    </w:p>
    <w:p w14:paraId="7FBFCFDC">
      <w:pPr>
        <w:ind w:left="1697" w:leftChars="498" w:hanging="502" w:hangingChars="250"/>
        <w:jc w:val="both"/>
        <w:rPr>
          <w:rFonts w:ascii="Verdana" w:hAnsi="Verdana"/>
          <w:b/>
          <w:bCs/>
          <w:sz w:val="20"/>
          <w:szCs w:val="20"/>
        </w:rPr>
      </w:pPr>
      <w:r>
        <w:rPr>
          <w:rFonts w:ascii="Verdana" w:hAnsi="Verdana"/>
          <w:b/>
          <w:bCs/>
          <w:sz w:val="20"/>
          <w:szCs w:val="20"/>
        </w:rPr>
        <w:t>ΔΙΑΚΗΡΥΞΗ  ΔΗΜΟΠΡΑΣΙΑΣ ΓΙΑ ΤΗΝ ΕΚΜΙΣΘΩΣΗ</w:t>
      </w:r>
      <w:r>
        <w:rPr>
          <w:rFonts w:hint="default" w:ascii="Verdana" w:hAnsi="Verdana"/>
          <w:b/>
          <w:bCs/>
          <w:sz w:val="20"/>
          <w:szCs w:val="20"/>
          <w:lang w:val="el-GR"/>
        </w:rPr>
        <w:t xml:space="preserve"> </w:t>
      </w:r>
      <w:r>
        <w:rPr>
          <w:rFonts w:ascii="Verdana" w:hAnsi="Verdana"/>
          <w:b/>
          <w:bCs/>
          <w:sz w:val="20"/>
          <w:szCs w:val="20"/>
        </w:rPr>
        <w:t xml:space="preserve">ΜΙΑΣ ΘΕΣΗΣ </w:t>
      </w:r>
    </w:p>
    <w:p w14:paraId="0DA09C2D">
      <w:pPr>
        <w:ind w:left="1500" w:leftChars="332" w:hanging="703" w:hangingChars="350"/>
        <w:jc w:val="both"/>
        <w:rPr>
          <w:rFonts w:hint="default" w:ascii="Verdana" w:hAnsi="Verdana"/>
          <w:b/>
          <w:bCs/>
          <w:sz w:val="20"/>
          <w:szCs w:val="20"/>
          <w:lang w:val="el-GR"/>
        </w:rPr>
      </w:pPr>
      <w:r>
        <w:rPr>
          <w:rFonts w:ascii="Verdana" w:hAnsi="Verdana"/>
          <w:b/>
          <w:bCs/>
          <w:sz w:val="20"/>
          <w:szCs w:val="20"/>
        </w:rPr>
        <w:t xml:space="preserve"> </w:t>
      </w:r>
      <w:r>
        <w:rPr>
          <w:rFonts w:hint="default" w:ascii="Verdana" w:hAnsi="Verdana"/>
          <w:b/>
          <w:bCs/>
          <w:sz w:val="20"/>
          <w:szCs w:val="20"/>
          <w:lang w:val="el-GR"/>
        </w:rPr>
        <w:t xml:space="preserve">   </w:t>
      </w:r>
      <w:r>
        <w:rPr>
          <w:rFonts w:ascii="Verdana" w:hAnsi="Verdana"/>
          <w:b/>
          <w:bCs/>
          <w:sz w:val="20"/>
          <w:szCs w:val="20"/>
        </w:rPr>
        <w:t>ΚΕΝΩΘΕΝΤΟΣ</w:t>
      </w:r>
      <w:r>
        <w:rPr>
          <w:rFonts w:hint="default" w:ascii="Verdana" w:hAnsi="Verdana"/>
          <w:b/>
          <w:bCs/>
          <w:sz w:val="20"/>
          <w:szCs w:val="20"/>
          <w:lang w:val="el-GR"/>
        </w:rPr>
        <w:t xml:space="preserve"> </w:t>
      </w:r>
      <w:r>
        <w:rPr>
          <w:rFonts w:ascii="Verdana" w:hAnsi="Verdana"/>
          <w:b/>
          <w:bCs/>
          <w:sz w:val="20"/>
          <w:szCs w:val="20"/>
        </w:rPr>
        <w:t>ΠΕΡΙΠΤΕΡΟΥ ΕΠΙ Τ</w:t>
      </w:r>
      <w:r>
        <w:rPr>
          <w:rFonts w:ascii="Verdana" w:hAnsi="Verdana"/>
          <w:b/>
          <w:bCs/>
          <w:sz w:val="20"/>
          <w:szCs w:val="20"/>
          <w:lang w:val="el-GR"/>
        </w:rPr>
        <w:t>ΗΣ</w:t>
      </w:r>
      <w:r>
        <w:rPr>
          <w:rFonts w:ascii="Verdana" w:hAnsi="Verdana"/>
          <w:b/>
          <w:bCs/>
          <w:sz w:val="20"/>
          <w:szCs w:val="20"/>
        </w:rPr>
        <w:t xml:space="preserve"> </w:t>
      </w:r>
      <w:r>
        <w:rPr>
          <w:rFonts w:ascii="Verdana" w:hAnsi="Verdana"/>
          <w:b/>
          <w:bCs/>
          <w:sz w:val="20"/>
          <w:szCs w:val="20"/>
          <w:lang w:val="el-GR"/>
        </w:rPr>
        <w:t>ΟΔΟΥ</w:t>
      </w:r>
      <w:r>
        <w:rPr>
          <w:rFonts w:hint="default" w:ascii="Verdana" w:hAnsi="Verdana"/>
          <w:b/>
          <w:bCs/>
          <w:sz w:val="20"/>
          <w:szCs w:val="20"/>
          <w:lang w:val="el-GR"/>
        </w:rPr>
        <w:t xml:space="preserve"> ΔΗΜ. Ι. ΠΕΡΓΑΝΤΑ 26</w:t>
      </w:r>
      <w:r>
        <w:rPr>
          <w:rFonts w:ascii="Verdana" w:hAnsi="Verdana"/>
          <w:b/>
          <w:bCs/>
          <w:sz w:val="20"/>
          <w:szCs w:val="20"/>
        </w:rPr>
        <w:t>,</w:t>
      </w:r>
      <w:r>
        <w:rPr>
          <w:rFonts w:hint="default" w:ascii="Verdana" w:hAnsi="Verdana"/>
          <w:b/>
          <w:bCs/>
          <w:sz w:val="20"/>
          <w:szCs w:val="20"/>
          <w:lang w:val="el-GR"/>
        </w:rPr>
        <w:t xml:space="preserve"> </w:t>
      </w:r>
    </w:p>
    <w:p w14:paraId="4920B7E9">
      <w:pPr>
        <w:ind w:left="2191" w:leftChars="913" w:firstLine="602" w:firstLineChars="300"/>
        <w:jc w:val="both"/>
        <w:rPr>
          <w:rFonts w:ascii="Verdana" w:hAnsi="Verdana"/>
          <w:b/>
          <w:bCs/>
          <w:sz w:val="20"/>
          <w:szCs w:val="20"/>
        </w:rPr>
      </w:pPr>
      <w:r>
        <w:rPr>
          <w:rFonts w:hint="default" w:ascii="Verdana" w:hAnsi="Verdana"/>
          <w:b/>
          <w:bCs/>
          <w:sz w:val="20"/>
          <w:szCs w:val="20"/>
          <w:lang w:val="el-GR"/>
        </w:rPr>
        <w:t>ΣΤΗΝ</w:t>
      </w:r>
      <w:r>
        <w:rPr>
          <w:rFonts w:ascii="Verdana" w:hAnsi="Verdana"/>
          <w:b/>
          <w:bCs/>
          <w:sz w:val="20"/>
          <w:szCs w:val="20"/>
        </w:rPr>
        <w:t xml:space="preserve"> ΚΟΙΝΟΤΗΤΑ ΛΙΒΑΔΕΙΑΣ</w:t>
      </w:r>
    </w:p>
    <w:p w14:paraId="2BCAD596">
      <w:pPr>
        <w:ind w:left="2191" w:leftChars="913" w:firstLine="602" w:firstLineChars="300"/>
        <w:jc w:val="both"/>
        <w:rPr>
          <w:rFonts w:ascii="Verdana" w:hAnsi="Verdana"/>
          <w:b/>
          <w:bCs/>
          <w:sz w:val="20"/>
          <w:szCs w:val="20"/>
        </w:rPr>
      </w:pPr>
    </w:p>
    <w:p w14:paraId="166DF78E">
      <w:pPr>
        <w:jc w:val="center"/>
        <w:rPr>
          <w:rFonts w:ascii="Verdana" w:hAnsi="Verdana"/>
          <w:b/>
          <w:bCs/>
          <w:sz w:val="20"/>
          <w:szCs w:val="20"/>
        </w:rPr>
      </w:pPr>
    </w:p>
    <w:p w14:paraId="0095D4C9">
      <w:pPr>
        <w:jc w:val="center"/>
        <w:rPr>
          <w:rFonts w:ascii="Verdana" w:hAnsi="Verdana"/>
          <w:b/>
          <w:bCs/>
          <w:sz w:val="20"/>
          <w:szCs w:val="20"/>
        </w:rPr>
      </w:pPr>
      <w:r>
        <w:rPr>
          <w:rFonts w:ascii="Verdana" w:hAnsi="Verdana"/>
          <w:b/>
          <w:bCs/>
          <w:sz w:val="20"/>
          <w:szCs w:val="20"/>
        </w:rPr>
        <w:t>Ο ΔΗΜΑΡΧΟΣ ΛΕΒΑΔΕΩΝ</w:t>
      </w:r>
    </w:p>
    <w:p w14:paraId="08880090">
      <w:pPr>
        <w:jc w:val="center"/>
        <w:rPr>
          <w:rFonts w:ascii="Verdana" w:hAnsi="Verdana"/>
          <w:b/>
          <w:bCs/>
          <w:sz w:val="20"/>
          <w:szCs w:val="20"/>
        </w:rPr>
      </w:pPr>
    </w:p>
    <w:p w14:paraId="4C161BDA">
      <w:pPr>
        <w:jc w:val="center"/>
        <w:rPr>
          <w:rFonts w:ascii="Verdana" w:hAnsi="Verdana"/>
          <w:b/>
          <w:bCs/>
          <w:sz w:val="20"/>
          <w:szCs w:val="20"/>
        </w:rPr>
      </w:pPr>
    </w:p>
    <w:p w14:paraId="3FD71603">
      <w:pPr>
        <w:jc w:val="both"/>
        <w:rPr>
          <w:rFonts w:ascii="Verdana" w:hAnsi="Verdana"/>
          <w:sz w:val="20"/>
          <w:szCs w:val="20"/>
        </w:rPr>
      </w:pPr>
      <w:r>
        <w:rPr>
          <w:rFonts w:ascii="Verdana" w:hAnsi="Verdana"/>
          <w:sz w:val="20"/>
          <w:szCs w:val="20"/>
        </w:rPr>
        <w:t xml:space="preserve">   Έχοντας υπόψη :</w:t>
      </w:r>
    </w:p>
    <w:p w14:paraId="7AE11F31">
      <w:pPr>
        <w:numPr>
          <w:ilvl w:val="0"/>
          <w:numId w:val="1"/>
        </w:numPr>
        <w:spacing w:line="0" w:lineRule="atLeast"/>
        <w:jc w:val="both"/>
      </w:pPr>
      <w:r>
        <w:rPr>
          <w:rFonts w:ascii="Verdana" w:hAnsi="Verdana" w:cs="Verdana"/>
          <w:sz w:val="20"/>
          <w:szCs w:val="20"/>
        </w:rPr>
        <w:t>το άρθρο</w:t>
      </w:r>
      <w:r>
        <w:rPr>
          <w:rFonts w:hint="default" w:ascii="Verdana" w:hAnsi="Verdana" w:cs="Verdana"/>
          <w:sz w:val="20"/>
          <w:szCs w:val="20"/>
          <w:lang w:val="el-GR"/>
        </w:rPr>
        <w:t xml:space="preserve">  581</w:t>
      </w:r>
      <w:r>
        <w:rPr>
          <w:rFonts w:ascii="Verdana" w:hAnsi="Verdana" w:cs="Verdana"/>
          <w:sz w:val="20"/>
          <w:szCs w:val="20"/>
        </w:rPr>
        <w:t xml:space="preserve"> του Ν.</w:t>
      </w:r>
      <w:r>
        <w:rPr>
          <w:rFonts w:hint="default" w:ascii="Verdana" w:hAnsi="Verdana" w:cs="Verdana"/>
          <w:sz w:val="20"/>
          <w:szCs w:val="20"/>
          <w:lang w:val="el-GR"/>
        </w:rPr>
        <w:t xml:space="preserve"> 5314</w:t>
      </w:r>
      <w:r>
        <w:rPr>
          <w:rFonts w:ascii="Verdana" w:hAnsi="Verdana" w:cs="Verdana"/>
          <w:sz w:val="20"/>
          <w:szCs w:val="20"/>
        </w:rPr>
        <w:t>/</w:t>
      </w:r>
      <w:r>
        <w:rPr>
          <w:rFonts w:hint="default" w:ascii="Verdana" w:hAnsi="Verdana" w:cs="Verdana"/>
          <w:sz w:val="20"/>
          <w:szCs w:val="20"/>
          <w:lang w:val="el-GR"/>
        </w:rPr>
        <w:t>2026</w:t>
      </w:r>
      <w:r>
        <w:rPr>
          <w:rFonts w:ascii="Verdana" w:hAnsi="Verdana" w:cs="Verdana"/>
          <w:sz w:val="20"/>
          <w:szCs w:val="20"/>
        </w:rPr>
        <w:t xml:space="preserve"> </w:t>
      </w:r>
    </w:p>
    <w:p w14:paraId="02160948">
      <w:pPr>
        <w:numPr>
          <w:ilvl w:val="0"/>
          <w:numId w:val="1"/>
        </w:numPr>
        <w:spacing w:line="0" w:lineRule="atLeast"/>
        <w:jc w:val="both"/>
      </w:pPr>
      <w:r>
        <w:rPr>
          <w:rFonts w:ascii="Verdana" w:hAnsi="Verdana" w:cs="Verdana"/>
          <w:sz w:val="20"/>
          <w:szCs w:val="20"/>
        </w:rPr>
        <w:t xml:space="preserve">το άρθρο </w:t>
      </w:r>
      <w:r>
        <w:rPr>
          <w:rFonts w:hint="default" w:ascii="Verdana" w:hAnsi="Verdana" w:cs="Verdana"/>
          <w:sz w:val="20"/>
          <w:szCs w:val="20"/>
          <w:lang w:val="el-GR"/>
        </w:rPr>
        <w:t xml:space="preserve"> 585</w:t>
      </w:r>
      <w:r>
        <w:rPr>
          <w:rFonts w:ascii="Verdana" w:hAnsi="Verdana" w:cs="Verdana"/>
          <w:sz w:val="20"/>
          <w:szCs w:val="20"/>
        </w:rPr>
        <w:t xml:space="preserve"> του Ν. </w:t>
      </w:r>
      <w:r>
        <w:rPr>
          <w:rFonts w:hint="default" w:ascii="Verdana" w:hAnsi="Verdana" w:cs="Verdana"/>
          <w:sz w:val="20"/>
          <w:szCs w:val="20"/>
          <w:lang w:val="el-GR"/>
        </w:rPr>
        <w:t>5314</w:t>
      </w:r>
      <w:r>
        <w:rPr>
          <w:rFonts w:ascii="Verdana" w:hAnsi="Verdana" w:cs="Verdana"/>
          <w:sz w:val="20"/>
          <w:szCs w:val="20"/>
        </w:rPr>
        <w:t>/</w:t>
      </w:r>
      <w:r>
        <w:rPr>
          <w:rFonts w:hint="default" w:ascii="Verdana" w:hAnsi="Verdana" w:cs="Verdana"/>
          <w:sz w:val="20"/>
          <w:szCs w:val="20"/>
          <w:lang w:val="el-GR"/>
        </w:rPr>
        <w:t>2026</w:t>
      </w:r>
      <w:r>
        <w:rPr>
          <w:rFonts w:ascii="Verdana" w:hAnsi="Verdana" w:cs="Verdana"/>
          <w:sz w:val="20"/>
          <w:szCs w:val="20"/>
        </w:rPr>
        <w:t xml:space="preserve"> </w:t>
      </w:r>
    </w:p>
    <w:p w14:paraId="55115C66">
      <w:pPr>
        <w:numPr>
          <w:ilvl w:val="0"/>
          <w:numId w:val="1"/>
        </w:numPr>
        <w:spacing w:line="0" w:lineRule="atLeast"/>
        <w:jc w:val="both"/>
      </w:pPr>
      <w:r>
        <w:rPr>
          <w:rFonts w:ascii="Verdana" w:hAnsi="Verdana"/>
          <w:sz w:val="20"/>
          <w:szCs w:val="20"/>
        </w:rPr>
        <w:t xml:space="preserve">το </w:t>
      </w:r>
      <w:r>
        <w:rPr>
          <w:rFonts w:ascii="Verdana" w:hAnsi="Verdana"/>
          <w:sz w:val="20"/>
          <w:szCs w:val="20"/>
          <w:lang w:val="el-GR"/>
        </w:rPr>
        <w:t>άρθρο</w:t>
      </w:r>
      <w:r>
        <w:rPr>
          <w:rFonts w:hint="default" w:ascii="Verdana" w:hAnsi="Verdana"/>
          <w:sz w:val="20"/>
          <w:szCs w:val="20"/>
          <w:lang w:val="el-GR"/>
        </w:rPr>
        <w:t xml:space="preserve"> 553 του Ν. 5314/2026</w:t>
      </w:r>
    </w:p>
    <w:p w14:paraId="30B48A4E">
      <w:pPr>
        <w:numPr>
          <w:ilvl w:val="0"/>
          <w:numId w:val="1"/>
        </w:numPr>
        <w:spacing w:line="0" w:lineRule="atLeast"/>
        <w:jc w:val="both"/>
      </w:pPr>
      <w:r>
        <w:rPr>
          <w:rFonts w:hint="default" w:ascii="Verdana" w:hAnsi="Verdana"/>
          <w:sz w:val="20"/>
          <w:szCs w:val="20"/>
          <w:lang w:val="el-GR"/>
        </w:rPr>
        <w:t>το άρθρο 586 του Ν. 5314/2026</w:t>
      </w:r>
    </w:p>
    <w:p w14:paraId="26F6FBEB">
      <w:pPr>
        <w:numPr>
          <w:ilvl w:val="0"/>
          <w:numId w:val="1"/>
        </w:numPr>
        <w:spacing w:line="0" w:lineRule="atLeast"/>
        <w:jc w:val="both"/>
      </w:pPr>
      <w:r>
        <w:rPr>
          <w:rFonts w:hint="default" w:ascii="Verdana" w:hAnsi="Verdana"/>
          <w:sz w:val="20"/>
          <w:szCs w:val="20"/>
          <w:lang w:val="el-GR"/>
        </w:rPr>
        <w:t>το άρθρο 563 του Ν. 5314/2026</w:t>
      </w:r>
    </w:p>
    <w:p w14:paraId="795FD9F4">
      <w:pPr>
        <w:numPr>
          <w:ilvl w:val="0"/>
          <w:numId w:val="1"/>
        </w:numPr>
        <w:spacing w:line="0" w:lineRule="atLeast"/>
        <w:jc w:val="both"/>
      </w:pPr>
      <w:r>
        <w:rPr>
          <w:rFonts w:ascii="Verdana" w:hAnsi="Verdana" w:cs="Verdana"/>
          <w:sz w:val="20"/>
          <w:szCs w:val="20"/>
        </w:rPr>
        <w:t xml:space="preserve">τις διατάξεις του Ν. </w:t>
      </w:r>
      <w:r>
        <w:rPr>
          <w:rFonts w:hint="default" w:ascii="Verdana" w:hAnsi="Verdana" w:cs="Verdana"/>
          <w:sz w:val="20"/>
          <w:szCs w:val="20"/>
          <w:lang w:val="el-GR"/>
        </w:rPr>
        <w:t>5314</w:t>
      </w:r>
      <w:r>
        <w:rPr>
          <w:rFonts w:ascii="Verdana" w:hAnsi="Verdana" w:cs="Verdana"/>
          <w:sz w:val="20"/>
          <w:szCs w:val="20"/>
        </w:rPr>
        <w:t>/20</w:t>
      </w:r>
      <w:r>
        <w:rPr>
          <w:rFonts w:hint="default" w:ascii="Verdana" w:hAnsi="Verdana" w:cs="Verdana"/>
          <w:sz w:val="20"/>
          <w:szCs w:val="20"/>
          <w:lang w:val="el-GR"/>
        </w:rPr>
        <w:t>26</w:t>
      </w:r>
      <w:r>
        <w:rPr>
          <w:rFonts w:ascii="Verdana" w:hAnsi="Verdana" w:cs="Verdana"/>
          <w:sz w:val="20"/>
          <w:szCs w:val="20"/>
        </w:rPr>
        <w:t xml:space="preserve">, άρθρο </w:t>
      </w:r>
      <w:r>
        <w:rPr>
          <w:rFonts w:hint="default" w:ascii="Verdana" w:hAnsi="Verdana" w:cs="Verdana"/>
          <w:sz w:val="20"/>
          <w:szCs w:val="20"/>
          <w:lang w:val="el-GR"/>
        </w:rPr>
        <w:t>164</w:t>
      </w:r>
      <w:r>
        <w:rPr>
          <w:rFonts w:ascii="Verdana" w:hAnsi="Verdana" w:cs="Verdana"/>
          <w:sz w:val="20"/>
          <w:szCs w:val="20"/>
        </w:rPr>
        <w:t>,</w:t>
      </w:r>
      <w:r>
        <w:rPr>
          <w:rFonts w:hint="default" w:ascii="Verdana" w:hAnsi="Verdana" w:cs="Verdana"/>
          <w:sz w:val="20"/>
          <w:szCs w:val="20"/>
          <w:lang w:val="el-GR"/>
        </w:rPr>
        <w:t xml:space="preserve"> </w:t>
      </w:r>
      <w:r>
        <w:rPr>
          <w:rFonts w:ascii="Verdana" w:hAnsi="Verdana" w:cs="Verdana"/>
          <w:sz w:val="20"/>
          <w:szCs w:val="20"/>
        </w:rPr>
        <w:t xml:space="preserve">παρ. </w:t>
      </w:r>
      <w:r>
        <w:rPr>
          <w:rFonts w:hint="default" w:ascii="Verdana" w:hAnsi="Verdana" w:cs="Verdana"/>
          <w:sz w:val="20"/>
          <w:szCs w:val="20"/>
          <w:lang w:val="el-GR"/>
        </w:rPr>
        <w:t>2α</w:t>
      </w:r>
      <w:r>
        <w:rPr>
          <w:rFonts w:ascii="Verdana" w:hAnsi="Verdana" w:cs="Verdana"/>
          <w:sz w:val="20"/>
          <w:szCs w:val="20"/>
        </w:rPr>
        <w:t xml:space="preserve"> «Αρμοδιότητες συμβουλίου κοινότητας άνω των τριακοσίων (300) κατοίκων»</w:t>
      </w:r>
    </w:p>
    <w:p w14:paraId="24447408">
      <w:pPr>
        <w:numPr>
          <w:ilvl w:val="0"/>
          <w:numId w:val="1"/>
        </w:numPr>
        <w:jc w:val="both"/>
        <w:rPr>
          <w:rFonts w:ascii="Verdana" w:hAnsi="Verdana"/>
          <w:sz w:val="20"/>
          <w:szCs w:val="20"/>
        </w:rPr>
      </w:pPr>
      <w:r>
        <w:rPr>
          <w:rFonts w:ascii="Verdana" w:hAnsi="Verdana" w:cs="Verdana"/>
          <w:color w:val="000000"/>
          <w:sz w:val="20"/>
          <w:szCs w:val="20"/>
          <w:lang w:val="el-GR"/>
        </w:rPr>
        <w:t>Τις</w:t>
      </w:r>
      <w:r>
        <w:rPr>
          <w:rFonts w:hint="default" w:ascii="Verdana" w:hAnsi="Verdana" w:cs="Verdana"/>
          <w:color w:val="000000"/>
          <w:sz w:val="20"/>
          <w:szCs w:val="20"/>
          <w:lang w:val="el-GR"/>
        </w:rPr>
        <w:t xml:space="preserve"> </w:t>
      </w:r>
      <w:r>
        <w:rPr>
          <w:rFonts w:ascii="Verdana" w:hAnsi="Verdana"/>
          <w:sz w:val="20"/>
          <w:szCs w:val="20"/>
        </w:rPr>
        <w:t>διατάξεις τ</w:t>
      </w:r>
      <w:r>
        <w:rPr>
          <w:rFonts w:ascii="Verdana" w:hAnsi="Verdana"/>
          <w:sz w:val="20"/>
          <w:szCs w:val="20"/>
          <w:lang w:val="el-GR"/>
        </w:rPr>
        <w:t>ου</w:t>
      </w:r>
      <w:r>
        <w:rPr>
          <w:rFonts w:ascii="Verdana" w:hAnsi="Verdana"/>
          <w:sz w:val="20"/>
          <w:szCs w:val="20"/>
        </w:rPr>
        <w:t xml:space="preserve"> άρθρο</w:t>
      </w:r>
      <w:r>
        <w:rPr>
          <w:rFonts w:ascii="Verdana" w:hAnsi="Verdana"/>
          <w:sz w:val="20"/>
          <w:szCs w:val="20"/>
          <w:lang w:val="el-GR"/>
        </w:rPr>
        <w:t>υ</w:t>
      </w:r>
      <w:r>
        <w:rPr>
          <w:rFonts w:ascii="Verdana" w:hAnsi="Verdana"/>
          <w:sz w:val="20"/>
          <w:szCs w:val="20"/>
        </w:rPr>
        <w:t xml:space="preserve"> </w:t>
      </w:r>
      <w:r>
        <w:rPr>
          <w:rFonts w:hint="default" w:ascii="Verdana" w:hAnsi="Verdana"/>
          <w:sz w:val="20"/>
          <w:szCs w:val="20"/>
          <w:lang w:val="el-GR"/>
        </w:rPr>
        <w:t>138</w:t>
      </w:r>
      <w:r>
        <w:rPr>
          <w:rFonts w:ascii="Verdana" w:hAnsi="Verdana"/>
          <w:sz w:val="20"/>
          <w:szCs w:val="20"/>
        </w:rPr>
        <w:t xml:space="preserve"> Ν. </w:t>
      </w:r>
      <w:r>
        <w:rPr>
          <w:rFonts w:hint="default" w:ascii="Verdana" w:hAnsi="Verdana"/>
          <w:sz w:val="20"/>
          <w:szCs w:val="20"/>
          <w:lang w:val="el-GR"/>
        </w:rPr>
        <w:t>5314</w:t>
      </w:r>
      <w:r>
        <w:rPr>
          <w:rFonts w:ascii="Verdana" w:hAnsi="Verdana"/>
          <w:sz w:val="20"/>
          <w:szCs w:val="20"/>
        </w:rPr>
        <w:t>/20</w:t>
      </w:r>
      <w:r>
        <w:rPr>
          <w:rFonts w:hint="default" w:ascii="Verdana" w:hAnsi="Verdana"/>
          <w:sz w:val="20"/>
          <w:szCs w:val="20"/>
          <w:lang w:val="el-GR"/>
        </w:rPr>
        <w:t>26,</w:t>
      </w:r>
      <w:r>
        <w:rPr>
          <w:rFonts w:ascii="Verdana" w:hAnsi="Verdana"/>
          <w:sz w:val="20"/>
          <w:szCs w:val="20"/>
        </w:rPr>
        <w:t xml:space="preserve"> σύμφωνα με την οποία :  «η </w:t>
      </w:r>
      <w:r>
        <w:rPr>
          <w:rFonts w:ascii="Verdana" w:hAnsi="Verdana"/>
          <w:sz w:val="20"/>
          <w:szCs w:val="20"/>
          <w:lang w:val="el-GR"/>
        </w:rPr>
        <w:t>δημοτική</w:t>
      </w:r>
      <w:r>
        <w:rPr>
          <w:rFonts w:ascii="Verdana" w:hAnsi="Verdana"/>
          <w:sz w:val="20"/>
          <w:szCs w:val="20"/>
        </w:rPr>
        <w:t xml:space="preserve"> επιτροπή αποφασίζει την κατάρτιση των όρων, τη σύνταξη των διακηρύξεων, τη διεξαγωγή και κατακύρωση κάθε μορφής δημοπρασιών και διαγωνισμών, για μελέτες, προμήθειες και υπηρεσίες, καθώς και τη συγκρότηση των ειδικών επιτροπών διεξαγωγής και αξιολόγησης από μέλη της ή ειδικούς επιστήμονες, υπαλλήλους του δήμου ή δημοσίους υπαλλήλους».</w:t>
      </w:r>
    </w:p>
    <w:p w14:paraId="3F35F316">
      <w:pPr>
        <w:numPr>
          <w:ilvl w:val="0"/>
          <w:numId w:val="1"/>
        </w:numPr>
        <w:spacing w:line="0" w:lineRule="atLeast"/>
        <w:jc w:val="both"/>
        <w:rPr>
          <w:rFonts w:ascii="Verdana" w:hAnsi="Verdana" w:cs="Verdana"/>
          <w:sz w:val="20"/>
          <w:szCs w:val="20"/>
        </w:rPr>
      </w:pPr>
      <w:r>
        <w:rPr>
          <w:rFonts w:hint="default" w:ascii="Verdana" w:hAnsi="Verdana" w:cs="Verdana"/>
          <w:sz w:val="20"/>
          <w:szCs w:val="20"/>
          <w:lang w:val="el-GR"/>
        </w:rPr>
        <w:t>τ</w:t>
      </w:r>
      <w:r>
        <w:rPr>
          <w:rFonts w:ascii="Verdana" w:hAnsi="Verdana" w:cs="Verdana"/>
          <w:sz w:val="20"/>
          <w:szCs w:val="20"/>
        </w:rPr>
        <w:t>ην υπ’ αριθμ. 264/2015 απόφαση Δημοτικού Συμβουλίου περί κανονισμού λειτουργίας περιπτέρων του Δήμου Λεβαδέων.</w:t>
      </w:r>
    </w:p>
    <w:p w14:paraId="51466F57">
      <w:pPr>
        <w:numPr>
          <w:ilvl w:val="0"/>
          <w:numId w:val="1"/>
        </w:numPr>
        <w:spacing w:line="0" w:lineRule="atLeast"/>
        <w:jc w:val="both"/>
        <w:rPr>
          <w:rFonts w:ascii="Verdana" w:hAnsi="Verdana" w:cs="Verdana"/>
          <w:sz w:val="20"/>
          <w:szCs w:val="20"/>
        </w:rPr>
      </w:pPr>
      <w:r>
        <w:rPr>
          <w:rFonts w:ascii="Verdana" w:hAnsi="Verdana" w:cs="Verdana"/>
          <w:sz w:val="20"/>
          <w:szCs w:val="20"/>
        </w:rPr>
        <w:t xml:space="preserve">Την υπ’ αριθμ.  </w:t>
      </w:r>
      <w:r>
        <w:rPr>
          <w:rFonts w:hint="default" w:ascii="Verdana" w:hAnsi="Verdana" w:cs="Verdana"/>
          <w:sz w:val="20"/>
          <w:szCs w:val="20"/>
          <w:lang w:val="el-GR"/>
        </w:rPr>
        <w:t>21</w:t>
      </w:r>
      <w:r>
        <w:rPr>
          <w:rFonts w:ascii="Verdana" w:hAnsi="Verdana" w:cs="Verdana"/>
          <w:sz w:val="20"/>
          <w:szCs w:val="20"/>
        </w:rPr>
        <w:t>/202</w:t>
      </w:r>
      <w:r>
        <w:rPr>
          <w:rFonts w:hint="default" w:ascii="Verdana" w:hAnsi="Verdana" w:cs="Verdana"/>
          <w:sz w:val="20"/>
          <w:szCs w:val="20"/>
          <w:lang w:val="el-GR"/>
        </w:rPr>
        <w:t>6</w:t>
      </w:r>
      <w:r>
        <w:rPr>
          <w:rFonts w:ascii="Verdana" w:hAnsi="Verdana" w:cs="Verdana"/>
          <w:sz w:val="20"/>
          <w:szCs w:val="20"/>
        </w:rPr>
        <w:t xml:space="preserve"> ομόφωνη απόφαση Δημοτικής Κοινότητας Λιβαδειάς για την διατήρηση θέσης κενωθέντος περιπτέρου επί της </w:t>
      </w:r>
      <w:r>
        <w:rPr>
          <w:rFonts w:ascii="Verdana" w:hAnsi="Verdana" w:cs="Verdana"/>
          <w:sz w:val="20"/>
          <w:szCs w:val="20"/>
          <w:lang w:val="el-GR"/>
        </w:rPr>
        <w:t>οδού</w:t>
      </w:r>
      <w:r>
        <w:rPr>
          <w:rFonts w:hint="default" w:ascii="Verdana" w:hAnsi="Verdana" w:cs="Verdana"/>
          <w:sz w:val="20"/>
          <w:szCs w:val="20"/>
          <w:lang w:val="el-GR"/>
        </w:rPr>
        <w:t xml:space="preserve"> Δημ. Ι. Περγαντά 26.</w:t>
      </w:r>
    </w:p>
    <w:p w14:paraId="6C5198B1">
      <w:pPr>
        <w:numPr>
          <w:ilvl w:val="0"/>
          <w:numId w:val="1"/>
        </w:numPr>
        <w:spacing w:line="0" w:lineRule="atLeast"/>
        <w:jc w:val="both"/>
        <w:rPr>
          <w:rFonts w:ascii="Verdana" w:hAnsi="Verdana" w:cs="Verdana"/>
          <w:sz w:val="20"/>
          <w:szCs w:val="20"/>
        </w:rPr>
      </w:pPr>
      <w:r>
        <w:rPr>
          <w:rFonts w:ascii="Verdana" w:hAnsi="Verdana" w:cs="Verdana"/>
          <w:sz w:val="20"/>
          <w:szCs w:val="20"/>
        </w:rPr>
        <w:t xml:space="preserve">Την υπ’ αριθμ.  </w:t>
      </w:r>
      <w:r>
        <w:rPr>
          <w:rFonts w:hint="default" w:ascii="Verdana" w:hAnsi="Verdana" w:cs="Verdana"/>
          <w:sz w:val="20"/>
          <w:szCs w:val="20"/>
          <w:lang w:val="el-GR"/>
        </w:rPr>
        <w:t>278</w:t>
      </w:r>
      <w:r>
        <w:rPr>
          <w:rFonts w:ascii="Verdana" w:hAnsi="Verdana" w:cs="Verdana"/>
          <w:sz w:val="20"/>
          <w:szCs w:val="20"/>
        </w:rPr>
        <w:t>/202</w:t>
      </w:r>
      <w:r>
        <w:rPr>
          <w:rFonts w:hint="default" w:ascii="Verdana" w:hAnsi="Verdana" w:cs="Verdana"/>
          <w:sz w:val="20"/>
          <w:szCs w:val="20"/>
          <w:lang w:val="el-GR"/>
        </w:rPr>
        <w:t>6</w:t>
      </w:r>
      <w:r>
        <w:rPr>
          <w:rFonts w:ascii="Verdana" w:hAnsi="Verdana" w:cs="Verdana"/>
          <w:sz w:val="20"/>
          <w:szCs w:val="20"/>
        </w:rPr>
        <w:t xml:space="preserve"> ομόφωνη απόφαση Δημοτικής </w:t>
      </w:r>
      <w:r>
        <w:rPr>
          <w:rFonts w:ascii="Verdana" w:hAnsi="Verdana" w:cs="Verdana"/>
          <w:sz w:val="20"/>
          <w:szCs w:val="20"/>
          <w:lang w:val="el-GR"/>
        </w:rPr>
        <w:t>Επιτροπής</w:t>
      </w:r>
      <w:r>
        <w:rPr>
          <w:rFonts w:ascii="Verdana" w:hAnsi="Verdana" w:cs="Verdana"/>
          <w:sz w:val="20"/>
          <w:szCs w:val="20"/>
        </w:rPr>
        <w:t xml:space="preserve"> για την διατήρηση θέσης κενωθέντος περιπτέρου επί της </w:t>
      </w:r>
      <w:r>
        <w:rPr>
          <w:rFonts w:ascii="Verdana" w:hAnsi="Verdana" w:cs="Verdana"/>
          <w:sz w:val="20"/>
          <w:szCs w:val="20"/>
          <w:lang w:val="el-GR"/>
        </w:rPr>
        <w:t>οδού</w:t>
      </w:r>
      <w:r>
        <w:rPr>
          <w:rFonts w:hint="default" w:ascii="Verdana" w:hAnsi="Verdana" w:cs="Verdana"/>
          <w:sz w:val="20"/>
          <w:szCs w:val="20"/>
          <w:lang w:val="el-GR"/>
        </w:rPr>
        <w:t xml:space="preserve"> Δημ. Ι. Περγαντά 26.</w:t>
      </w:r>
    </w:p>
    <w:p w14:paraId="570A0139">
      <w:pPr>
        <w:numPr>
          <w:ilvl w:val="0"/>
          <w:numId w:val="1"/>
        </w:numPr>
        <w:spacing w:line="0" w:lineRule="atLeast"/>
        <w:jc w:val="both"/>
        <w:rPr>
          <w:rFonts w:ascii="Verdana" w:hAnsi="Verdana" w:cs="Verdana"/>
          <w:sz w:val="20"/>
          <w:szCs w:val="20"/>
        </w:rPr>
      </w:pPr>
      <w:r>
        <w:rPr>
          <w:rFonts w:ascii="Verdana" w:hAnsi="Verdana" w:cs="Verdana"/>
          <w:sz w:val="20"/>
          <w:szCs w:val="20"/>
        </w:rPr>
        <w:t xml:space="preserve">Την υπ’ αριθμ.  </w:t>
      </w:r>
      <w:r>
        <w:rPr>
          <w:rFonts w:hint="default" w:ascii="Verdana" w:hAnsi="Verdana" w:cs="Verdana"/>
          <w:sz w:val="20"/>
          <w:szCs w:val="20"/>
          <w:lang w:val="el-GR"/>
        </w:rPr>
        <w:t>130</w:t>
      </w:r>
      <w:r>
        <w:rPr>
          <w:rFonts w:ascii="Verdana" w:hAnsi="Verdana" w:cs="Verdana"/>
          <w:sz w:val="20"/>
          <w:szCs w:val="20"/>
        </w:rPr>
        <w:t>/202</w:t>
      </w:r>
      <w:r>
        <w:rPr>
          <w:rFonts w:hint="default" w:ascii="Verdana" w:hAnsi="Verdana" w:cs="Verdana"/>
          <w:sz w:val="20"/>
          <w:szCs w:val="20"/>
          <w:lang w:val="el-GR"/>
        </w:rPr>
        <w:t>6</w:t>
      </w:r>
      <w:r>
        <w:rPr>
          <w:rFonts w:ascii="Verdana" w:hAnsi="Verdana" w:cs="Verdana"/>
          <w:sz w:val="20"/>
          <w:szCs w:val="20"/>
        </w:rPr>
        <w:t xml:space="preserve"> ομόφωνη απόφαση Δημοτικ</w:t>
      </w:r>
      <w:r>
        <w:rPr>
          <w:rFonts w:ascii="Verdana" w:hAnsi="Verdana" w:cs="Verdana"/>
          <w:sz w:val="20"/>
          <w:szCs w:val="20"/>
          <w:lang w:val="el-GR"/>
        </w:rPr>
        <w:t>ού</w:t>
      </w:r>
      <w:r>
        <w:rPr>
          <w:rFonts w:ascii="Verdana" w:hAnsi="Verdana" w:cs="Verdana"/>
          <w:sz w:val="20"/>
          <w:szCs w:val="20"/>
        </w:rPr>
        <w:t xml:space="preserve"> </w:t>
      </w:r>
      <w:r>
        <w:rPr>
          <w:rFonts w:ascii="Verdana" w:hAnsi="Verdana" w:cs="Verdana"/>
          <w:sz w:val="20"/>
          <w:szCs w:val="20"/>
          <w:lang w:val="el-GR"/>
        </w:rPr>
        <w:t>Συμβουλίου</w:t>
      </w:r>
      <w:r>
        <w:rPr>
          <w:rFonts w:ascii="Verdana" w:hAnsi="Verdana" w:cs="Verdana"/>
          <w:sz w:val="20"/>
          <w:szCs w:val="20"/>
        </w:rPr>
        <w:t xml:space="preserve"> για την διατήρηση θέσης κενωθέντος περιπτέρου επί της </w:t>
      </w:r>
      <w:r>
        <w:rPr>
          <w:rFonts w:ascii="Verdana" w:hAnsi="Verdana" w:cs="Verdana"/>
          <w:sz w:val="20"/>
          <w:szCs w:val="20"/>
          <w:lang w:val="el-GR"/>
        </w:rPr>
        <w:t>οδού</w:t>
      </w:r>
      <w:r>
        <w:rPr>
          <w:rFonts w:hint="default" w:ascii="Verdana" w:hAnsi="Verdana" w:cs="Verdana"/>
          <w:sz w:val="20"/>
          <w:szCs w:val="20"/>
          <w:lang w:val="el-GR"/>
        </w:rPr>
        <w:t xml:space="preserve"> Δημ. Ι. Περγαντά 26.</w:t>
      </w:r>
    </w:p>
    <w:p w14:paraId="07F05C18">
      <w:pPr>
        <w:numPr>
          <w:ilvl w:val="0"/>
          <w:numId w:val="1"/>
        </w:numPr>
        <w:spacing w:line="0" w:lineRule="atLeast"/>
        <w:jc w:val="both"/>
      </w:pPr>
      <w:r>
        <w:rPr>
          <w:rFonts w:ascii="Verdana" w:hAnsi="Verdana" w:cs="Verdana"/>
          <w:sz w:val="20"/>
          <w:szCs w:val="20"/>
        </w:rPr>
        <w:t xml:space="preserve">Την υπ’ αριθμ.  </w:t>
      </w:r>
      <w:r>
        <w:rPr>
          <w:rFonts w:hint="default" w:ascii="Verdana" w:hAnsi="Verdana" w:cs="Verdana"/>
          <w:sz w:val="20"/>
          <w:szCs w:val="20"/>
          <w:lang w:val="el-GR"/>
        </w:rPr>
        <w:t>146</w:t>
      </w:r>
      <w:r>
        <w:rPr>
          <w:rFonts w:ascii="Verdana" w:hAnsi="Verdana" w:cs="Verdana"/>
          <w:sz w:val="20"/>
          <w:szCs w:val="20"/>
        </w:rPr>
        <w:t>/202</w:t>
      </w:r>
      <w:r>
        <w:rPr>
          <w:rFonts w:hint="default" w:ascii="Verdana" w:hAnsi="Verdana" w:cs="Verdana"/>
          <w:sz w:val="20"/>
          <w:szCs w:val="20"/>
          <w:lang w:val="el-GR"/>
        </w:rPr>
        <w:t>6</w:t>
      </w:r>
      <w:r>
        <w:rPr>
          <w:rFonts w:ascii="Verdana" w:hAnsi="Verdana" w:cs="Verdana"/>
          <w:sz w:val="20"/>
          <w:szCs w:val="20"/>
        </w:rPr>
        <w:t xml:space="preserve"> απόφαση Δημοτικ</w:t>
      </w:r>
      <w:r>
        <w:rPr>
          <w:rFonts w:ascii="Verdana" w:hAnsi="Verdana" w:cs="Verdana"/>
          <w:sz w:val="20"/>
          <w:szCs w:val="20"/>
          <w:lang w:val="el-GR"/>
        </w:rPr>
        <w:t>ού</w:t>
      </w:r>
      <w:r>
        <w:rPr>
          <w:rFonts w:ascii="Verdana" w:hAnsi="Verdana" w:cs="Verdana"/>
          <w:sz w:val="20"/>
          <w:szCs w:val="20"/>
        </w:rPr>
        <w:t xml:space="preserve"> </w:t>
      </w:r>
      <w:r>
        <w:rPr>
          <w:rFonts w:ascii="Verdana" w:hAnsi="Verdana" w:cs="Verdana"/>
          <w:sz w:val="20"/>
          <w:szCs w:val="20"/>
          <w:lang w:val="el-GR"/>
        </w:rPr>
        <w:t>Συμβουλίου</w:t>
      </w:r>
      <w:r>
        <w:rPr>
          <w:rFonts w:ascii="Verdana" w:hAnsi="Verdana" w:cs="Verdana"/>
          <w:sz w:val="20"/>
          <w:szCs w:val="20"/>
        </w:rPr>
        <w:t xml:space="preserve"> </w:t>
      </w:r>
      <w:r>
        <w:rPr>
          <w:rFonts w:ascii="Verdana" w:hAnsi="Verdana"/>
          <w:sz w:val="20"/>
          <w:szCs w:val="20"/>
        </w:rPr>
        <w:t>Λεβαδέων, περί κ</w:t>
      </w:r>
      <w:r>
        <w:rPr>
          <w:rFonts w:ascii="Verdana" w:hAnsi="Verdana" w:cs="Verdana"/>
          <w:sz w:val="20"/>
          <w:szCs w:val="20"/>
        </w:rPr>
        <w:t>αθορισμού χρόνου παραχώρησης δικαιώματος χρήσης και έγκριση διενέργειας πλειοδοτικής δημοπρασίας για την εκμίσθωση μιας θέσης κενωθέντος περιπτέρου που βρίσκεται επί τ</w:t>
      </w:r>
      <w:r>
        <w:rPr>
          <w:rFonts w:ascii="Verdana" w:hAnsi="Verdana" w:cs="Verdana"/>
          <w:sz w:val="20"/>
          <w:szCs w:val="20"/>
          <w:lang w:val="el-GR"/>
        </w:rPr>
        <w:t>ης</w:t>
      </w:r>
      <w:r>
        <w:rPr>
          <w:rFonts w:ascii="Verdana" w:hAnsi="Verdana" w:cs="Verdana"/>
          <w:sz w:val="20"/>
          <w:szCs w:val="20"/>
        </w:rPr>
        <w:t xml:space="preserve"> </w:t>
      </w:r>
      <w:r>
        <w:rPr>
          <w:rFonts w:ascii="Verdana" w:hAnsi="Verdana" w:cs="Verdana"/>
          <w:sz w:val="20"/>
          <w:szCs w:val="20"/>
          <w:lang w:val="el-GR"/>
        </w:rPr>
        <w:t>οδού</w:t>
      </w:r>
      <w:r>
        <w:rPr>
          <w:rFonts w:hint="default" w:ascii="Verdana" w:hAnsi="Verdana" w:cs="Verdana"/>
          <w:sz w:val="20"/>
          <w:szCs w:val="20"/>
          <w:lang w:val="el-GR"/>
        </w:rPr>
        <w:t xml:space="preserve"> Δημ. Ι. Περγαντά 26</w:t>
      </w:r>
      <w:r>
        <w:rPr>
          <w:rFonts w:ascii="Verdana" w:hAnsi="Verdana" w:cs="Verdana"/>
          <w:sz w:val="20"/>
          <w:szCs w:val="20"/>
        </w:rPr>
        <w:t>,</w:t>
      </w:r>
      <w:r>
        <w:rPr>
          <w:rFonts w:hint="default" w:ascii="Verdana" w:hAnsi="Verdana" w:cs="Verdana"/>
          <w:sz w:val="20"/>
          <w:szCs w:val="20"/>
          <w:lang w:val="el-GR"/>
        </w:rPr>
        <w:t xml:space="preserve"> </w:t>
      </w:r>
      <w:r>
        <w:rPr>
          <w:rFonts w:ascii="Verdana" w:hAnsi="Verdana" w:cs="Verdana"/>
          <w:sz w:val="20"/>
          <w:szCs w:val="20"/>
        </w:rPr>
        <w:t>στη Κοινότητα Λιβαδειάς.</w:t>
      </w:r>
      <w:r>
        <w:rPr>
          <w:rFonts w:ascii="Verdana" w:hAnsi="Verdana"/>
          <w:color w:val="00000A"/>
          <w:sz w:val="18"/>
          <w:szCs w:val="18"/>
        </w:rPr>
        <w:t xml:space="preserve"> </w:t>
      </w:r>
    </w:p>
    <w:p w14:paraId="0D86F8E7">
      <w:pPr>
        <w:numPr>
          <w:ilvl w:val="0"/>
          <w:numId w:val="1"/>
        </w:numPr>
        <w:spacing w:line="0" w:lineRule="atLeast"/>
        <w:jc w:val="both"/>
        <w:rPr>
          <w:rFonts w:ascii="Verdana" w:hAnsi="Verdana" w:cs="Verdana"/>
          <w:sz w:val="20"/>
          <w:szCs w:val="20"/>
        </w:rPr>
      </w:pPr>
      <w:r>
        <w:rPr>
          <w:rFonts w:ascii="Verdana" w:hAnsi="Verdana" w:cs="Verdana"/>
          <w:sz w:val="20"/>
          <w:szCs w:val="20"/>
          <w:lang w:val="el-GR"/>
        </w:rPr>
        <w:t>Την</w:t>
      </w:r>
      <w:r>
        <w:rPr>
          <w:rFonts w:hint="default" w:ascii="Verdana" w:hAnsi="Verdana" w:cs="Verdana"/>
          <w:sz w:val="20"/>
          <w:szCs w:val="20"/>
          <w:lang w:val="el-GR"/>
        </w:rPr>
        <w:t xml:space="preserve"> υπ’ αριθμ. 4/2026 απόφαση της Επιτροπής Αξιολόγησης Περουσιακών Στοιχείων για την τιμή εκκίνησης του εν λόγω περιπτέρου.</w:t>
      </w:r>
    </w:p>
    <w:p w14:paraId="50D621A0">
      <w:pPr>
        <w:numPr>
          <w:ilvl w:val="0"/>
          <w:numId w:val="1"/>
        </w:numPr>
        <w:spacing w:line="0" w:lineRule="atLeast"/>
        <w:jc w:val="both"/>
        <w:rPr>
          <w:rFonts w:ascii="Verdana" w:hAnsi="Verdana" w:cs="Verdana"/>
          <w:sz w:val="20"/>
          <w:szCs w:val="20"/>
        </w:rPr>
      </w:pPr>
      <w:r>
        <w:rPr>
          <w:rFonts w:ascii="Verdana" w:hAnsi="Verdana" w:cs="Verdana"/>
          <w:sz w:val="20"/>
          <w:szCs w:val="20"/>
          <w:lang w:val="el-GR"/>
        </w:rPr>
        <w:t>Τα</w:t>
      </w:r>
      <w:r>
        <w:rPr>
          <w:rFonts w:hint="default" w:ascii="Verdana" w:hAnsi="Verdana" w:cs="Verdana"/>
          <w:sz w:val="20"/>
          <w:szCs w:val="20"/>
          <w:lang w:val="el-GR"/>
        </w:rPr>
        <w:t xml:space="preserve"> χαρακτηριστικά του συγκεκριμένου περιπτέρου και τις ανάγκες του Δήμου.</w:t>
      </w:r>
    </w:p>
    <w:p w14:paraId="267B1711">
      <w:pPr>
        <w:jc w:val="both"/>
        <w:rPr>
          <w:rFonts w:ascii="Verdana" w:hAnsi="Verdana"/>
          <w:sz w:val="20"/>
          <w:szCs w:val="20"/>
        </w:rPr>
      </w:pPr>
    </w:p>
    <w:p w14:paraId="5FDE9B76">
      <w:pPr>
        <w:jc w:val="both"/>
        <w:rPr>
          <w:rFonts w:ascii="Verdana" w:hAnsi="Verdana"/>
          <w:sz w:val="20"/>
          <w:szCs w:val="20"/>
        </w:rPr>
      </w:pPr>
    </w:p>
    <w:p w14:paraId="6C65B6F0">
      <w:pPr>
        <w:jc w:val="both"/>
        <w:rPr>
          <w:rFonts w:ascii="Verdana" w:hAnsi="Verdana"/>
          <w:sz w:val="20"/>
          <w:szCs w:val="20"/>
        </w:rPr>
      </w:pPr>
      <w:r>
        <w:rPr>
          <w:rFonts w:ascii="Verdana" w:hAnsi="Verdana"/>
          <w:b/>
          <w:bCs/>
          <w:sz w:val="20"/>
          <w:szCs w:val="20"/>
        </w:rPr>
        <w:t xml:space="preserve">     </w:t>
      </w:r>
      <w:r>
        <w:rPr>
          <w:rFonts w:hint="default" w:ascii="Verdana" w:hAnsi="Verdana"/>
          <w:b/>
          <w:bCs/>
          <w:sz w:val="20"/>
          <w:szCs w:val="20"/>
          <w:lang w:val="el-GR"/>
        </w:rPr>
        <w:t xml:space="preserve">                                                      </w:t>
      </w:r>
      <w:r>
        <w:rPr>
          <w:rFonts w:ascii="Verdana" w:hAnsi="Verdana"/>
          <w:b/>
          <w:bCs/>
          <w:sz w:val="20"/>
          <w:szCs w:val="20"/>
        </w:rPr>
        <w:t>Προκηρύσσει</w:t>
      </w:r>
    </w:p>
    <w:p w14:paraId="513686E7">
      <w:pPr>
        <w:jc w:val="both"/>
        <w:rPr>
          <w:rFonts w:ascii="Verdana" w:hAnsi="Verdana"/>
          <w:b/>
          <w:bCs/>
          <w:sz w:val="20"/>
          <w:szCs w:val="20"/>
        </w:rPr>
      </w:pPr>
      <w:r>
        <w:rPr>
          <w:rFonts w:ascii="Verdana" w:hAnsi="Verdana"/>
          <w:sz w:val="20"/>
          <w:szCs w:val="20"/>
        </w:rPr>
        <w:t xml:space="preserve">δημοπρασία πλειοδοτική, φανερή και προφορική για την εκμίσθωση </w:t>
      </w:r>
      <w:r>
        <w:rPr>
          <w:rStyle w:val="7"/>
          <w:rFonts w:ascii="Verdana" w:hAnsi="Verdana" w:cs="Verdana"/>
          <w:b w:val="0"/>
          <w:color w:val="000000"/>
          <w:sz w:val="20"/>
          <w:szCs w:val="20"/>
        </w:rPr>
        <w:t>της θέσης του</w:t>
      </w:r>
      <w:r>
        <w:rPr>
          <w:rFonts w:ascii="Verdana" w:hAnsi="Verdana"/>
          <w:sz w:val="20"/>
          <w:szCs w:val="20"/>
        </w:rPr>
        <w:t xml:space="preserve"> </w:t>
      </w:r>
      <w:r>
        <w:rPr>
          <w:rStyle w:val="7"/>
          <w:rFonts w:ascii="Verdana" w:hAnsi="Verdana" w:cs="Verdana"/>
          <w:b w:val="0"/>
          <w:color w:val="000000"/>
          <w:sz w:val="20"/>
          <w:szCs w:val="20"/>
        </w:rPr>
        <w:t>κενωθέντος περιπτέρου</w:t>
      </w:r>
      <w:r>
        <w:rPr>
          <w:rFonts w:ascii="Verdana" w:hAnsi="Verdana" w:cs="Verdana"/>
          <w:sz w:val="20"/>
          <w:szCs w:val="20"/>
        </w:rPr>
        <w:t xml:space="preserve"> </w:t>
      </w:r>
      <w:r>
        <w:rPr>
          <w:rStyle w:val="7"/>
          <w:rFonts w:ascii="Verdana" w:hAnsi="Verdana" w:cs="Verdana"/>
          <w:b w:val="0"/>
          <w:color w:val="000000"/>
          <w:sz w:val="20"/>
          <w:szCs w:val="20"/>
        </w:rPr>
        <w:t xml:space="preserve">που βρίσκεται επί της </w:t>
      </w:r>
      <w:r>
        <w:rPr>
          <w:rStyle w:val="7"/>
          <w:rFonts w:ascii="Verdana" w:hAnsi="Verdana" w:cs="Verdana"/>
          <w:b w:val="0"/>
          <w:color w:val="000000"/>
          <w:sz w:val="20"/>
          <w:szCs w:val="20"/>
          <w:lang w:val="el-GR"/>
        </w:rPr>
        <w:t>οδού</w:t>
      </w:r>
      <w:r>
        <w:rPr>
          <w:rStyle w:val="7"/>
          <w:rFonts w:hint="default" w:ascii="Verdana" w:hAnsi="Verdana" w:cs="Verdana"/>
          <w:b w:val="0"/>
          <w:color w:val="000000"/>
          <w:sz w:val="20"/>
          <w:szCs w:val="20"/>
          <w:lang w:val="el-GR"/>
        </w:rPr>
        <w:t xml:space="preserve"> Δημ. Ι. Περγαντά 26</w:t>
      </w:r>
      <w:r>
        <w:rPr>
          <w:rStyle w:val="7"/>
          <w:rFonts w:ascii="Verdana" w:hAnsi="Verdana" w:cs="Verdana"/>
          <w:b w:val="0"/>
          <w:color w:val="000000"/>
          <w:sz w:val="20"/>
          <w:szCs w:val="20"/>
        </w:rPr>
        <w:t>,</w:t>
      </w:r>
      <w:r>
        <w:rPr>
          <w:rStyle w:val="7"/>
          <w:rFonts w:hint="default" w:ascii="Verdana" w:hAnsi="Verdana" w:cs="Verdana"/>
          <w:b w:val="0"/>
          <w:color w:val="000000"/>
          <w:sz w:val="20"/>
          <w:szCs w:val="20"/>
          <w:lang w:val="el-GR"/>
        </w:rPr>
        <w:t xml:space="preserve"> </w:t>
      </w:r>
      <w:r>
        <w:rPr>
          <w:rStyle w:val="7"/>
          <w:rFonts w:ascii="Verdana" w:hAnsi="Verdana" w:cs="Verdana"/>
          <w:b w:val="0"/>
          <w:color w:val="000000"/>
          <w:sz w:val="20"/>
          <w:szCs w:val="20"/>
        </w:rPr>
        <w:t xml:space="preserve">επιφανείας περιπτέρου </w:t>
      </w:r>
      <w:r>
        <w:rPr>
          <w:rStyle w:val="7"/>
          <w:rFonts w:hint="default" w:ascii="Verdana" w:hAnsi="Verdana" w:cs="Verdana"/>
          <w:b w:val="0"/>
          <w:color w:val="000000"/>
          <w:sz w:val="20"/>
          <w:szCs w:val="20"/>
          <w:lang w:val="el-GR"/>
        </w:rPr>
        <w:t>4</w:t>
      </w:r>
      <w:r>
        <w:rPr>
          <w:rStyle w:val="7"/>
          <w:rFonts w:ascii="Verdana" w:hAnsi="Verdana" w:cs="Verdana"/>
          <w:b w:val="0"/>
          <w:color w:val="000000"/>
          <w:sz w:val="20"/>
          <w:szCs w:val="20"/>
        </w:rPr>
        <w:t>,</w:t>
      </w:r>
      <w:r>
        <w:rPr>
          <w:rStyle w:val="7"/>
          <w:rFonts w:hint="default" w:ascii="Verdana" w:hAnsi="Verdana" w:cs="Verdana"/>
          <w:b w:val="0"/>
          <w:color w:val="000000"/>
          <w:sz w:val="20"/>
          <w:szCs w:val="20"/>
          <w:lang w:val="el-GR"/>
        </w:rPr>
        <w:t>40</w:t>
      </w:r>
      <w:r>
        <w:rPr>
          <w:rStyle w:val="7"/>
          <w:rFonts w:ascii="Verdana" w:hAnsi="Verdana" w:cs="Verdana"/>
          <w:b w:val="0"/>
          <w:color w:val="000000"/>
          <w:sz w:val="20"/>
          <w:szCs w:val="20"/>
        </w:rPr>
        <w:t xml:space="preserve"> τ.μ. (2,</w:t>
      </w:r>
      <w:r>
        <w:rPr>
          <w:rStyle w:val="7"/>
          <w:rFonts w:hint="default" w:ascii="Verdana" w:hAnsi="Verdana" w:cs="Verdana"/>
          <w:b w:val="0"/>
          <w:color w:val="000000"/>
          <w:sz w:val="20"/>
          <w:szCs w:val="20"/>
          <w:lang w:val="el-GR"/>
        </w:rPr>
        <w:t>20</w:t>
      </w:r>
      <w:r>
        <w:rPr>
          <w:rStyle w:val="7"/>
          <w:rFonts w:ascii="Verdana" w:hAnsi="Verdana" w:cs="Verdana"/>
          <w:b w:val="0"/>
          <w:color w:val="000000"/>
          <w:sz w:val="20"/>
          <w:szCs w:val="20"/>
        </w:rPr>
        <w:t xml:space="preserve"> χ</w:t>
      </w:r>
      <w:r>
        <w:rPr>
          <w:rStyle w:val="7"/>
          <w:rFonts w:hint="default" w:ascii="Verdana" w:hAnsi="Verdana" w:cs="Verdana"/>
          <w:b w:val="0"/>
          <w:color w:val="000000"/>
          <w:sz w:val="20"/>
          <w:szCs w:val="20"/>
          <w:lang w:val="el-GR"/>
        </w:rPr>
        <w:t xml:space="preserve"> 2</w:t>
      </w:r>
      <w:r>
        <w:rPr>
          <w:rStyle w:val="7"/>
          <w:rFonts w:ascii="Verdana" w:hAnsi="Verdana" w:cs="Verdana"/>
          <w:b w:val="0"/>
          <w:color w:val="000000"/>
          <w:sz w:val="20"/>
          <w:szCs w:val="20"/>
        </w:rPr>
        <w:t>,</w:t>
      </w:r>
      <w:r>
        <w:rPr>
          <w:rStyle w:val="7"/>
          <w:rFonts w:hint="default" w:ascii="Verdana" w:hAnsi="Verdana" w:cs="Verdana"/>
          <w:b w:val="0"/>
          <w:color w:val="000000"/>
          <w:sz w:val="20"/>
          <w:szCs w:val="20"/>
          <w:lang w:val="el-GR"/>
        </w:rPr>
        <w:t>0</w:t>
      </w:r>
      <w:r>
        <w:rPr>
          <w:rStyle w:val="7"/>
          <w:rFonts w:ascii="Verdana" w:hAnsi="Verdana" w:cs="Verdana"/>
          <w:b w:val="0"/>
          <w:color w:val="000000"/>
          <w:sz w:val="20"/>
          <w:szCs w:val="20"/>
        </w:rPr>
        <w:t>0) έτσι όπως αποτυπώνεται στην γενική κάτοψη της Διεύθυνσης Τεχνικών Υπηρεσιών του Δήμου Λεβαδέων</w:t>
      </w:r>
      <w:r>
        <w:rPr>
          <w:rFonts w:ascii="Verdana" w:hAnsi="Verdana"/>
          <w:sz w:val="20"/>
          <w:szCs w:val="20"/>
        </w:rPr>
        <w:t xml:space="preserve"> και καλούμε τους ενδιαφερόμενους να εκδηλώσουν ενδιαφέρον.</w:t>
      </w:r>
      <w:r>
        <w:rPr>
          <w:rFonts w:ascii="Verdana" w:hAnsi="Verdana"/>
          <w:b/>
          <w:bCs/>
          <w:sz w:val="20"/>
          <w:szCs w:val="20"/>
        </w:rPr>
        <w:t xml:space="preserve">                                                                    </w:t>
      </w:r>
    </w:p>
    <w:p w14:paraId="4F47C656">
      <w:pPr>
        <w:jc w:val="both"/>
        <w:rPr>
          <w:rFonts w:ascii="Verdana" w:hAnsi="Verdana"/>
          <w:b/>
          <w:bCs/>
          <w:sz w:val="20"/>
          <w:szCs w:val="20"/>
        </w:rPr>
      </w:pPr>
      <w:r>
        <w:rPr>
          <w:rFonts w:ascii="Verdana" w:hAnsi="Verdana"/>
          <w:b/>
          <w:bCs/>
          <w:sz w:val="20"/>
          <w:szCs w:val="20"/>
        </w:rPr>
        <w:t xml:space="preserve">                                                        </w:t>
      </w:r>
    </w:p>
    <w:p w14:paraId="2FCF38AE">
      <w:pPr>
        <w:jc w:val="both"/>
        <w:rPr>
          <w:rFonts w:ascii="Verdana" w:hAnsi="Verdana"/>
          <w:b/>
          <w:bCs/>
          <w:sz w:val="20"/>
          <w:szCs w:val="20"/>
        </w:rPr>
      </w:pPr>
    </w:p>
    <w:p w14:paraId="5C113438">
      <w:pPr>
        <w:jc w:val="both"/>
        <w:rPr>
          <w:rFonts w:ascii="Verdana" w:hAnsi="Verdana"/>
          <w:b/>
          <w:bCs/>
          <w:sz w:val="20"/>
          <w:szCs w:val="20"/>
        </w:rPr>
      </w:pPr>
      <w:r>
        <w:rPr>
          <w:rFonts w:ascii="Verdana" w:hAnsi="Verdana"/>
          <w:b/>
          <w:bCs/>
          <w:sz w:val="20"/>
          <w:szCs w:val="20"/>
        </w:rPr>
        <w:t xml:space="preserve">                                                                Άρθρο  1</w:t>
      </w:r>
    </w:p>
    <w:p w14:paraId="75F2F255">
      <w:pPr>
        <w:jc w:val="both"/>
        <w:rPr>
          <w:rFonts w:ascii="Verdana" w:hAnsi="Verdana"/>
          <w:b/>
          <w:bCs/>
          <w:sz w:val="20"/>
          <w:szCs w:val="20"/>
        </w:rPr>
      </w:pPr>
      <w:r>
        <w:rPr>
          <w:rFonts w:ascii="Verdana" w:hAnsi="Verdana"/>
          <w:b/>
          <w:bCs/>
          <w:sz w:val="20"/>
          <w:szCs w:val="20"/>
        </w:rPr>
        <w:t xml:space="preserve">                                                      Περιγραφή περιπτέρου   </w:t>
      </w:r>
    </w:p>
    <w:p w14:paraId="4C598371">
      <w:pPr>
        <w:jc w:val="both"/>
        <w:rPr>
          <w:rFonts w:ascii="Verdana" w:hAnsi="Verdana"/>
          <w:sz w:val="20"/>
          <w:szCs w:val="20"/>
        </w:rPr>
      </w:pPr>
      <w:r>
        <w:rPr>
          <w:rFonts w:ascii="Verdana" w:hAnsi="Verdana"/>
          <w:sz w:val="20"/>
          <w:szCs w:val="20"/>
        </w:rPr>
        <w:t xml:space="preserve">Αφορά  την εκμίσθωση </w:t>
      </w:r>
      <w:r>
        <w:rPr>
          <w:rStyle w:val="7"/>
          <w:rFonts w:ascii="Verdana" w:hAnsi="Verdana" w:cs="Verdana"/>
          <w:b w:val="0"/>
          <w:color w:val="000000"/>
          <w:sz w:val="20"/>
          <w:szCs w:val="20"/>
        </w:rPr>
        <w:t>της θέσης του κενωθέντος περιπτέρου</w:t>
      </w:r>
      <w:r>
        <w:rPr>
          <w:rFonts w:ascii="Verdana" w:hAnsi="Verdana" w:cs="Verdana"/>
          <w:sz w:val="20"/>
          <w:szCs w:val="20"/>
        </w:rPr>
        <w:t xml:space="preserve"> </w:t>
      </w:r>
      <w:r>
        <w:rPr>
          <w:rStyle w:val="7"/>
          <w:rFonts w:ascii="Verdana" w:hAnsi="Verdana" w:cs="Verdana"/>
          <w:b w:val="0"/>
          <w:color w:val="000000"/>
          <w:sz w:val="20"/>
          <w:szCs w:val="20"/>
        </w:rPr>
        <w:t>που βρίσκεται επί τ</w:t>
      </w:r>
      <w:r>
        <w:rPr>
          <w:rStyle w:val="7"/>
          <w:rFonts w:ascii="Verdana" w:hAnsi="Verdana" w:cs="Verdana"/>
          <w:b w:val="0"/>
          <w:color w:val="000000"/>
          <w:sz w:val="20"/>
          <w:szCs w:val="20"/>
          <w:lang w:val="el-GR"/>
        </w:rPr>
        <w:t>ης</w:t>
      </w:r>
      <w:r>
        <w:rPr>
          <w:rStyle w:val="7"/>
          <w:rFonts w:ascii="Verdana" w:hAnsi="Verdana" w:cs="Verdana"/>
          <w:b w:val="0"/>
          <w:color w:val="000000"/>
          <w:sz w:val="20"/>
          <w:szCs w:val="20"/>
        </w:rPr>
        <w:t xml:space="preserve"> </w:t>
      </w:r>
      <w:r>
        <w:rPr>
          <w:rStyle w:val="7"/>
          <w:rFonts w:ascii="Verdana" w:hAnsi="Verdana" w:cs="Verdana"/>
          <w:b w:val="0"/>
          <w:color w:val="000000"/>
          <w:sz w:val="20"/>
          <w:szCs w:val="20"/>
          <w:lang w:val="el-GR"/>
        </w:rPr>
        <w:t>οδού</w:t>
      </w:r>
      <w:r>
        <w:rPr>
          <w:rStyle w:val="7"/>
          <w:rFonts w:hint="default" w:ascii="Verdana" w:hAnsi="Verdana" w:cs="Verdana"/>
          <w:b w:val="0"/>
          <w:color w:val="000000"/>
          <w:sz w:val="20"/>
          <w:szCs w:val="20"/>
          <w:lang w:val="el-GR"/>
        </w:rPr>
        <w:t xml:space="preserve"> Δημ. Ι. Περγαντά 26, στην </w:t>
      </w:r>
      <w:r>
        <w:rPr>
          <w:rStyle w:val="7"/>
          <w:rFonts w:ascii="Verdana" w:hAnsi="Verdana" w:cs="Verdana"/>
          <w:b w:val="0"/>
          <w:color w:val="000000"/>
          <w:sz w:val="20"/>
          <w:szCs w:val="20"/>
        </w:rPr>
        <w:t xml:space="preserve"> Κοινότητα Λιβαδειάς, επιφανείας περιπτέρου </w:t>
      </w:r>
      <w:r>
        <w:rPr>
          <w:rStyle w:val="7"/>
          <w:rFonts w:hint="default" w:ascii="Verdana" w:hAnsi="Verdana" w:cs="Verdana"/>
          <w:b w:val="0"/>
          <w:color w:val="000000"/>
          <w:sz w:val="20"/>
          <w:szCs w:val="20"/>
          <w:lang w:val="el-GR"/>
        </w:rPr>
        <w:t>4</w:t>
      </w:r>
      <w:r>
        <w:rPr>
          <w:rStyle w:val="7"/>
          <w:rFonts w:ascii="Verdana" w:hAnsi="Verdana" w:cs="Verdana"/>
          <w:b w:val="0"/>
          <w:color w:val="000000"/>
          <w:sz w:val="20"/>
          <w:szCs w:val="20"/>
        </w:rPr>
        <w:t>,</w:t>
      </w:r>
      <w:r>
        <w:rPr>
          <w:rStyle w:val="7"/>
          <w:rFonts w:hint="default" w:ascii="Verdana" w:hAnsi="Verdana" w:cs="Verdana"/>
          <w:b w:val="0"/>
          <w:color w:val="000000"/>
          <w:sz w:val="20"/>
          <w:szCs w:val="20"/>
          <w:lang w:val="el-GR"/>
        </w:rPr>
        <w:t>40</w:t>
      </w:r>
      <w:r>
        <w:rPr>
          <w:rStyle w:val="7"/>
          <w:rFonts w:ascii="Verdana" w:hAnsi="Verdana" w:cs="Verdana"/>
          <w:b w:val="0"/>
          <w:color w:val="000000"/>
          <w:sz w:val="20"/>
          <w:szCs w:val="20"/>
        </w:rPr>
        <w:t xml:space="preserve"> τ.μ. (2,</w:t>
      </w:r>
      <w:r>
        <w:rPr>
          <w:rStyle w:val="7"/>
          <w:rFonts w:hint="default" w:ascii="Verdana" w:hAnsi="Verdana" w:cs="Verdana"/>
          <w:b w:val="0"/>
          <w:color w:val="000000"/>
          <w:sz w:val="20"/>
          <w:szCs w:val="20"/>
          <w:lang w:val="el-GR"/>
        </w:rPr>
        <w:t>20</w:t>
      </w:r>
      <w:r>
        <w:rPr>
          <w:rStyle w:val="7"/>
          <w:rFonts w:ascii="Verdana" w:hAnsi="Verdana" w:cs="Verdana"/>
          <w:b w:val="0"/>
          <w:color w:val="000000"/>
          <w:sz w:val="20"/>
          <w:szCs w:val="20"/>
        </w:rPr>
        <w:t>χ</w:t>
      </w:r>
      <w:r>
        <w:rPr>
          <w:rStyle w:val="7"/>
          <w:rFonts w:hint="default" w:ascii="Verdana" w:hAnsi="Verdana" w:cs="Verdana"/>
          <w:b w:val="0"/>
          <w:color w:val="000000"/>
          <w:sz w:val="20"/>
          <w:szCs w:val="20"/>
          <w:lang w:val="el-GR"/>
        </w:rPr>
        <w:t>2</w:t>
      </w:r>
      <w:r>
        <w:rPr>
          <w:rStyle w:val="7"/>
          <w:rFonts w:ascii="Verdana" w:hAnsi="Verdana" w:cs="Verdana"/>
          <w:b w:val="0"/>
          <w:color w:val="000000"/>
          <w:sz w:val="20"/>
          <w:szCs w:val="20"/>
        </w:rPr>
        <w:t>,</w:t>
      </w:r>
      <w:r>
        <w:rPr>
          <w:rStyle w:val="7"/>
          <w:rFonts w:hint="default" w:ascii="Verdana" w:hAnsi="Verdana" w:cs="Verdana"/>
          <w:b w:val="0"/>
          <w:color w:val="000000"/>
          <w:sz w:val="20"/>
          <w:szCs w:val="20"/>
          <w:lang w:val="el-GR"/>
        </w:rPr>
        <w:t>0</w:t>
      </w:r>
      <w:r>
        <w:rPr>
          <w:rStyle w:val="7"/>
          <w:rFonts w:ascii="Verdana" w:hAnsi="Verdana" w:cs="Verdana"/>
          <w:b w:val="0"/>
          <w:color w:val="000000"/>
          <w:sz w:val="20"/>
          <w:szCs w:val="20"/>
        </w:rPr>
        <w:t>0) έτσι όπως αποτυπώνεται στην γενική κάτοψη της Διεύθυνσης Τεχνικών Υπηρεσιών του Δήμου Λεβαδέων.</w:t>
      </w:r>
    </w:p>
    <w:p w14:paraId="07A14EB0">
      <w:pPr>
        <w:jc w:val="both"/>
        <w:rPr>
          <w:rFonts w:ascii="Verdana" w:hAnsi="Verdana"/>
          <w:sz w:val="20"/>
          <w:szCs w:val="20"/>
        </w:rPr>
      </w:pPr>
      <w:r>
        <w:rPr>
          <w:rFonts w:ascii="Verdana" w:hAnsi="Verdana"/>
          <w:sz w:val="20"/>
          <w:szCs w:val="20"/>
        </w:rPr>
        <w:t xml:space="preserve">                                  </w:t>
      </w:r>
    </w:p>
    <w:p w14:paraId="774FF96C">
      <w:pPr>
        <w:jc w:val="both"/>
        <w:rPr>
          <w:rFonts w:ascii="Verdana" w:hAnsi="Verdana"/>
          <w:sz w:val="20"/>
          <w:szCs w:val="20"/>
        </w:rPr>
      </w:pPr>
      <w:r>
        <w:rPr>
          <w:rFonts w:ascii="Verdana" w:hAnsi="Verdana"/>
          <w:sz w:val="20"/>
          <w:szCs w:val="20"/>
        </w:rPr>
        <w:t xml:space="preserve">                                                              </w:t>
      </w:r>
    </w:p>
    <w:p w14:paraId="333A4720">
      <w:pPr>
        <w:jc w:val="both"/>
        <w:rPr>
          <w:rFonts w:ascii="Verdana" w:hAnsi="Verdana"/>
          <w:sz w:val="20"/>
          <w:szCs w:val="20"/>
        </w:rPr>
      </w:pPr>
    </w:p>
    <w:p w14:paraId="48D49008">
      <w:pPr>
        <w:jc w:val="both"/>
        <w:rPr>
          <w:rFonts w:ascii="Verdana" w:hAnsi="Verdana"/>
          <w:sz w:val="20"/>
          <w:szCs w:val="20"/>
        </w:rPr>
      </w:pPr>
      <w:r>
        <w:rPr>
          <w:rFonts w:ascii="Verdana" w:hAnsi="Verdana"/>
          <w:sz w:val="20"/>
          <w:szCs w:val="20"/>
        </w:rPr>
        <w:t xml:space="preserve">                                                                 </w:t>
      </w:r>
      <w:r>
        <w:rPr>
          <w:rFonts w:ascii="Verdana" w:hAnsi="Verdana"/>
          <w:b/>
          <w:bCs/>
          <w:sz w:val="20"/>
          <w:szCs w:val="20"/>
        </w:rPr>
        <w:t>Άρθρο 2</w:t>
      </w:r>
    </w:p>
    <w:p w14:paraId="2A3C66F2">
      <w:pPr>
        <w:jc w:val="both"/>
        <w:rPr>
          <w:rFonts w:ascii="Verdana" w:hAnsi="Verdana"/>
          <w:b/>
          <w:bCs/>
          <w:sz w:val="20"/>
          <w:szCs w:val="20"/>
        </w:rPr>
      </w:pPr>
      <w:r>
        <w:rPr>
          <w:rFonts w:ascii="Verdana" w:hAnsi="Verdana"/>
          <w:b/>
          <w:bCs/>
          <w:sz w:val="20"/>
          <w:szCs w:val="20"/>
        </w:rPr>
        <w:t xml:space="preserve">                                              Τρόπος Διενέργειας της Δημοπρασίας </w:t>
      </w:r>
    </w:p>
    <w:p w14:paraId="0E241762">
      <w:pPr>
        <w:jc w:val="both"/>
        <w:rPr>
          <w:rFonts w:ascii="Verdana" w:hAnsi="Verdana"/>
          <w:sz w:val="20"/>
          <w:szCs w:val="20"/>
        </w:rPr>
      </w:pPr>
      <w:r>
        <w:rPr>
          <w:rFonts w:ascii="Verdana" w:hAnsi="Verdana"/>
          <w:sz w:val="20"/>
          <w:szCs w:val="20"/>
        </w:rPr>
        <w:t>Η δημοπρασία είναι φανερή και προφορική, διεξάγεται δε κατά την ορισθείσα ημέρα και ώρα που αναφέρεται παρακάτω. Η δημοπρασία μπορεί να συνεχιστεί και πέραν της οριζόμενης στη διακήρυξη ώρας,  εφ΄ όσον εξακολουθούν άνευ διακοπής οι προσφορές. Για την συνέχιση της δημοπρασίας και πέραν της  οριζόμενης ώρας  αποφασίζει η Επιτροπή διενέργειας  της δημοπρασίας, η απόφαση της οποίας καταχωρείται στα πρακτικά.</w:t>
      </w:r>
    </w:p>
    <w:p w14:paraId="7A68E45D">
      <w:pPr>
        <w:jc w:val="both"/>
        <w:rPr>
          <w:rFonts w:ascii="Verdana" w:hAnsi="Verdana"/>
          <w:sz w:val="20"/>
          <w:szCs w:val="20"/>
        </w:rPr>
      </w:pPr>
      <w:r>
        <w:rPr>
          <w:rFonts w:ascii="Verdana" w:hAnsi="Verdana"/>
          <w:sz w:val="20"/>
          <w:szCs w:val="20"/>
        </w:rPr>
        <w:t>Οι προσφορές των πλειοδοτών  αναγράφονται στα πρακτικά κατά σειρά εκφωνήσεως μετά του ονοματεπωνύμου του πλειοδότη. Πάσα προσφορά οφείλει να είναι κατά 10,00€ τουλάχιστον μεγαλύτερη της προηγούμενης και να είναι δεσμευτική για τον εκάστοτε πλειοδοτούντα.</w:t>
      </w:r>
    </w:p>
    <w:p w14:paraId="6E69045B">
      <w:pPr>
        <w:jc w:val="both"/>
        <w:rPr>
          <w:rFonts w:ascii="Verdana" w:hAnsi="Verdana"/>
          <w:sz w:val="20"/>
          <w:szCs w:val="20"/>
        </w:rPr>
      </w:pPr>
      <w:r>
        <w:rPr>
          <w:rFonts w:ascii="Verdana" w:hAnsi="Verdana"/>
          <w:sz w:val="20"/>
          <w:szCs w:val="20"/>
        </w:rPr>
        <w:t>Η δέσμευση δε αυτή μεταφέρεται αλληλοδιαδόχως από τον πρώτο στους ακόλουθους και επιβαρύνει οριστικώς τον τελευταίο πλειοδότη.</w:t>
      </w:r>
    </w:p>
    <w:p w14:paraId="6762DF67">
      <w:pPr>
        <w:jc w:val="both"/>
        <w:rPr>
          <w:rFonts w:hint="default" w:ascii="Verdana" w:hAnsi="Verdana"/>
          <w:sz w:val="20"/>
          <w:szCs w:val="20"/>
          <w:lang w:val="el-GR"/>
        </w:rPr>
      </w:pPr>
      <w:r>
        <w:rPr>
          <w:rFonts w:ascii="Verdana" w:hAnsi="Verdana"/>
          <w:sz w:val="20"/>
          <w:szCs w:val="20"/>
          <w:lang w:val="el-GR"/>
        </w:rPr>
        <w:t>Οι</w:t>
      </w:r>
      <w:r>
        <w:rPr>
          <w:rFonts w:hint="default" w:ascii="Verdana" w:hAnsi="Verdana"/>
          <w:sz w:val="20"/>
          <w:szCs w:val="20"/>
          <w:lang w:val="el-GR"/>
        </w:rPr>
        <w:t xml:space="preserve"> συμμετέχοντες στη δημοπρασία μπορούν να υποβάλλουν ένσταση κατά της νομιμότητας της διενέργειας του διαγωνισμού ή της συμμετοχής κάποιου σε αυτόν, εντός προθεσμίας τεσσάρων (4) ημερών από την ημερομηνία διενέργειάς του.</w:t>
      </w:r>
    </w:p>
    <w:p w14:paraId="617C98FF">
      <w:pPr>
        <w:jc w:val="both"/>
        <w:rPr>
          <w:rFonts w:hint="default" w:ascii="Verdana" w:hAnsi="Verdana"/>
          <w:sz w:val="20"/>
          <w:szCs w:val="20"/>
          <w:lang w:val="el-GR"/>
        </w:rPr>
      </w:pPr>
      <w:r>
        <w:rPr>
          <w:rFonts w:hint="default" w:ascii="Verdana" w:hAnsi="Verdana"/>
          <w:sz w:val="20"/>
          <w:szCs w:val="20"/>
          <w:lang w:val="el-GR"/>
        </w:rPr>
        <w:t xml:space="preserve">Εφόσον η ένσταση στρέφεται κατά του συμμετέχοντος στον διαγωνισμό, η επιτροπή διενέργειας την κοινοποιεί υποχρεωτιά στον καθ’ ου, ο οποίος έχει δικαίωμα να υποβάλλει εγγράφως τις απόψεις του, εντός προθεσμίας δύο (2) ημερών από την κοινοποίηση. </w:t>
      </w:r>
    </w:p>
    <w:p w14:paraId="38688DFF">
      <w:pPr>
        <w:jc w:val="both"/>
        <w:rPr>
          <w:rFonts w:ascii="Verdana" w:hAnsi="Verdana"/>
          <w:sz w:val="20"/>
          <w:szCs w:val="20"/>
        </w:rPr>
      </w:pPr>
      <w:r>
        <w:rPr>
          <w:rFonts w:ascii="Verdana" w:hAnsi="Verdana"/>
          <w:sz w:val="20"/>
          <w:szCs w:val="20"/>
        </w:rPr>
        <w:t>Αν κάποιος πλειοδοτεί για λογαριασμό άλλου, οφείλει α δηλώσει τούτο προς την επί της δημοπρασίας επιτροπή, προ της ενάρξεως του συναγωνισμού, παρουσιάζοντας και το προς τούτο νόμιμο πληρεξούσιο έγγραφο, αλλιώς θεωρείται ότι μετέχει για δικό του λογαριασμό.</w:t>
      </w:r>
    </w:p>
    <w:p w14:paraId="5F281195">
      <w:pPr>
        <w:jc w:val="both"/>
        <w:rPr>
          <w:rFonts w:ascii="Verdana" w:hAnsi="Verdana"/>
          <w:sz w:val="20"/>
          <w:szCs w:val="20"/>
        </w:rPr>
      </w:pPr>
      <w:r>
        <w:rPr>
          <w:rFonts w:ascii="Verdana" w:hAnsi="Verdana"/>
          <w:sz w:val="20"/>
          <w:szCs w:val="20"/>
        </w:rPr>
        <w:t>Η απόφαση της  επί της δημοπρασίας επιτροπής περί αποκλεισμού ενδιαφερόμενου</w:t>
      </w:r>
      <w:r>
        <w:rPr>
          <w:rFonts w:hint="default" w:ascii="Verdana" w:hAnsi="Verdana"/>
          <w:sz w:val="20"/>
          <w:szCs w:val="20"/>
          <w:lang w:val="el-GR"/>
        </w:rPr>
        <w:t xml:space="preserve"> </w:t>
      </w:r>
      <w:r>
        <w:rPr>
          <w:rFonts w:ascii="Verdana" w:hAnsi="Verdana"/>
          <w:sz w:val="20"/>
          <w:szCs w:val="20"/>
        </w:rPr>
        <w:t xml:space="preserve">να συμμετάσχει στη δημοπρασία, επειδή δεν πληρεί τους υπό της οικείας  διακηρύξεως προβλεπόμενους όρους, αναγράφεται στα πρακτικά. Τα πρακτικά της δημοπρασίας συντάσσονται εφ΄ απλού χαρτιού. </w:t>
      </w:r>
    </w:p>
    <w:p w14:paraId="2F4361A6">
      <w:pPr>
        <w:jc w:val="both"/>
        <w:rPr>
          <w:rFonts w:ascii="Verdana" w:hAnsi="Verdana"/>
          <w:sz w:val="20"/>
          <w:szCs w:val="20"/>
        </w:rPr>
      </w:pPr>
      <w:r>
        <w:rPr>
          <w:rFonts w:ascii="Verdana" w:hAnsi="Verdana"/>
          <w:sz w:val="20"/>
          <w:szCs w:val="20"/>
        </w:rPr>
        <w:t>Μετά την λήξη της δημοπρασίας τα πρακτικά υπογράφονται  από την Επιτροπή διενέργεια της δημοπρασίας και από τον τελευταίο πλειοδότη και τον εγγυητή αυτού. Αν κάποιος από αυτούς είναι αγράμματος, υπογράφει αντ΄ αυτού άλλος, βάσει , ειδικού νομίμου πληρεξουσίου ή δύο πρόσωπα εκ των παριστάμενων κατά την διενέργεια της δημοπρασίας, τα οποία καλεί η Επιτροπή διενέργειας της δημοπρασίας και τα οποία βεβαιώνουν στο πρακτικό  της δημοπρασίας ότι ο τελευταίος πλειοδότης ή ο εγγυητής του δήλωσε άγνοια γραμμάτων.</w:t>
      </w:r>
    </w:p>
    <w:p w14:paraId="79D8B815">
      <w:pPr>
        <w:jc w:val="both"/>
        <w:rPr>
          <w:rFonts w:ascii="Verdana" w:hAnsi="Verdana"/>
          <w:sz w:val="20"/>
          <w:szCs w:val="20"/>
        </w:rPr>
      </w:pPr>
      <w:r>
        <w:rPr>
          <w:rFonts w:ascii="Verdana" w:hAnsi="Verdana"/>
          <w:sz w:val="20"/>
          <w:szCs w:val="20"/>
        </w:rPr>
        <w:t xml:space="preserve"> </w:t>
      </w:r>
    </w:p>
    <w:p w14:paraId="52C4BD85">
      <w:pPr>
        <w:jc w:val="both"/>
        <w:rPr>
          <w:rFonts w:ascii="Verdana" w:hAnsi="Verdana"/>
          <w:sz w:val="20"/>
          <w:szCs w:val="20"/>
        </w:rPr>
      </w:pPr>
    </w:p>
    <w:p w14:paraId="18B88E3D">
      <w:pPr>
        <w:jc w:val="both"/>
        <w:rPr>
          <w:rFonts w:ascii="Verdana" w:hAnsi="Verdana"/>
          <w:sz w:val="20"/>
          <w:szCs w:val="20"/>
        </w:rPr>
      </w:pPr>
      <w:r>
        <w:rPr>
          <w:rFonts w:ascii="Verdana" w:hAnsi="Verdana"/>
          <w:sz w:val="20"/>
          <w:szCs w:val="20"/>
        </w:rPr>
        <w:t xml:space="preserve">                                                                 </w:t>
      </w:r>
      <w:r>
        <w:rPr>
          <w:rFonts w:ascii="Verdana" w:hAnsi="Verdana"/>
          <w:b/>
          <w:bCs/>
          <w:sz w:val="20"/>
          <w:szCs w:val="20"/>
        </w:rPr>
        <w:t>Άρθρο 3</w:t>
      </w:r>
    </w:p>
    <w:p w14:paraId="354FA697">
      <w:pPr>
        <w:jc w:val="both"/>
        <w:rPr>
          <w:rFonts w:ascii="Verdana" w:hAnsi="Verdana"/>
          <w:b/>
          <w:bCs/>
          <w:sz w:val="20"/>
          <w:szCs w:val="20"/>
        </w:rPr>
      </w:pPr>
      <w:r>
        <w:rPr>
          <w:rFonts w:ascii="Verdana" w:hAnsi="Verdana"/>
          <w:b/>
          <w:bCs/>
          <w:sz w:val="20"/>
          <w:szCs w:val="20"/>
        </w:rPr>
        <w:t xml:space="preserve">                             Τόπος , ημέρα και ώρα διεξαγωγής της δημοπρασίας.</w:t>
      </w:r>
    </w:p>
    <w:p w14:paraId="2431AE5D">
      <w:pPr>
        <w:jc w:val="both"/>
        <w:rPr>
          <w:rFonts w:ascii="Verdana" w:hAnsi="Verdana"/>
          <w:sz w:val="20"/>
          <w:szCs w:val="20"/>
        </w:rPr>
      </w:pPr>
      <w:r>
        <w:rPr>
          <w:rFonts w:ascii="Verdana" w:hAnsi="Verdana"/>
          <w:sz w:val="20"/>
          <w:szCs w:val="20"/>
        </w:rPr>
        <w:t xml:space="preserve">Η δημοπρασία θα διεξαχθεί </w:t>
      </w:r>
      <w:r>
        <w:rPr>
          <w:rFonts w:ascii="Verdana" w:hAnsi="Verdana"/>
          <w:b/>
          <w:sz w:val="20"/>
          <w:szCs w:val="20"/>
        </w:rPr>
        <w:t xml:space="preserve">την </w:t>
      </w:r>
      <w:r>
        <w:rPr>
          <w:rFonts w:hint="default" w:ascii="Verdana" w:hAnsi="Verdana"/>
          <w:b/>
          <w:sz w:val="20"/>
          <w:szCs w:val="20"/>
          <w:lang w:val="el-GR"/>
        </w:rPr>
        <w:t xml:space="preserve"> 20</w:t>
      </w:r>
      <w:r>
        <w:rPr>
          <w:rFonts w:ascii="Verdana" w:hAnsi="Verdana"/>
          <w:b/>
          <w:sz w:val="20"/>
          <w:szCs w:val="20"/>
          <w:vertAlign w:val="superscript"/>
        </w:rPr>
        <w:t>η</w:t>
      </w:r>
      <w:r>
        <w:rPr>
          <w:rFonts w:hint="default" w:ascii="Verdana" w:hAnsi="Verdana"/>
          <w:b/>
          <w:sz w:val="20"/>
          <w:szCs w:val="20"/>
          <w:vertAlign w:val="superscript"/>
          <w:lang w:val="el-GR"/>
        </w:rPr>
        <w:t xml:space="preserve">  </w:t>
      </w:r>
      <w:r>
        <w:rPr>
          <w:rFonts w:hint="default" w:ascii="Verdana" w:hAnsi="Verdana"/>
          <w:b/>
          <w:sz w:val="20"/>
          <w:szCs w:val="20"/>
          <w:lang w:val="el-GR"/>
        </w:rPr>
        <w:t xml:space="preserve">Νοεμβρίου </w:t>
      </w:r>
      <w:r>
        <w:rPr>
          <w:rFonts w:ascii="Verdana" w:hAnsi="Verdana"/>
          <w:b/>
          <w:sz w:val="20"/>
          <w:szCs w:val="20"/>
        </w:rPr>
        <w:t>202</w:t>
      </w:r>
      <w:r>
        <w:rPr>
          <w:rFonts w:hint="default" w:ascii="Verdana" w:hAnsi="Verdana"/>
          <w:b/>
          <w:sz w:val="20"/>
          <w:szCs w:val="20"/>
          <w:lang w:val="el-GR"/>
        </w:rPr>
        <w:t>6</w:t>
      </w:r>
      <w:r>
        <w:rPr>
          <w:rFonts w:ascii="Verdana" w:hAnsi="Verdana"/>
          <w:b/>
          <w:sz w:val="20"/>
          <w:szCs w:val="20"/>
        </w:rPr>
        <w:t xml:space="preserve"> ημέρα </w:t>
      </w:r>
      <w:r>
        <w:rPr>
          <w:rFonts w:hint="default" w:ascii="Verdana" w:hAnsi="Verdana"/>
          <w:b/>
          <w:sz w:val="20"/>
          <w:szCs w:val="20"/>
          <w:lang w:val="el-GR"/>
        </w:rPr>
        <w:t xml:space="preserve"> Παρασκευή</w:t>
      </w:r>
      <w:bookmarkStart w:id="0" w:name="_GoBack"/>
      <w:bookmarkEnd w:id="0"/>
      <w:r>
        <w:rPr>
          <w:rFonts w:hint="default" w:ascii="Verdana" w:hAnsi="Verdana"/>
          <w:b/>
          <w:sz w:val="20"/>
          <w:szCs w:val="20"/>
          <w:lang w:val="el-GR"/>
        </w:rPr>
        <w:t xml:space="preserve"> </w:t>
      </w:r>
      <w:r>
        <w:rPr>
          <w:rFonts w:ascii="Verdana" w:hAnsi="Verdana"/>
          <w:b/>
          <w:sz w:val="20"/>
          <w:szCs w:val="20"/>
        </w:rPr>
        <w:t>και ώρα 12.00 μ.μ</w:t>
      </w:r>
      <w:r>
        <w:rPr>
          <w:rFonts w:ascii="Verdana" w:hAnsi="Verdana"/>
          <w:sz w:val="20"/>
          <w:szCs w:val="20"/>
        </w:rPr>
        <w:t xml:space="preserve"> στο Δημοτικό κατάστημα Λιβαδειάς (Πλατεία Λ. Κατσώνη,  Λιβαδειά).</w:t>
      </w:r>
    </w:p>
    <w:p w14:paraId="41E78E94">
      <w:pPr>
        <w:jc w:val="both"/>
        <w:rPr>
          <w:rFonts w:ascii="Verdana" w:hAnsi="Verdana"/>
          <w:sz w:val="20"/>
          <w:szCs w:val="20"/>
        </w:rPr>
      </w:pPr>
      <w:r>
        <w:rPr>
          <w:rFonts w:ascii="Verdana" w:hAnsi="Verdana"/>
          <w:sz w:val="20"/>
          <w:szCs w:val="20"/>
        </w:rPr>
        <w:t>Η δημοπρασία θα ακολουθήσει τρία στάδια :</w:t>
      </w:r>
    </w:p>
    <w:p w14:paraId="10D58994">
      <w:pPr>
        <w:jc w:val="both"/>
        <w:rPr>
          <w:rFonts w:ascii="Verdana" w:hAnsi="Verdana"/>
          <w:b/>
          <w:bCs/>
          <w:sz w:val="20"/>
          <w:szCs w:val="20"/>
        </w:rPr>
      </w:pPr>
      <w:r>
        <w:rPr>
          <w:rFonts w:ascii="Verdana" w:hAnsi="Verdana"/>
          <w:b/>
          <w:bCs/>
          <w:sz w:val="20"/>
          <w:szCs w:val="20"/>
        </w:rPr>
        <w:t xml:space="preserve">Στάδιο 1ο : </w:t>
      </w:r>
      <w:r>
        <w:rPr>
          <w:rFonts w:ascii="Verdana" w:hAnsi="Verdana"/>
          <w:sz w:val="20"/>
          <w:szCs w:val="20"/>
        </w:rPr>
        <w:t>Υποβολή κλειστών φακέλλων δικαιολογητικών από 12.00 μ.μ έως 12.30 μ.μ</w:t>
      </w:r>
    </w:p>
    <w:p w14:paraId="7CE01BBE">
      <w:pPr>
        <w:jc w:val="both"/>
        <w:rPr>
          <w:rFonts w:ascii="Verdana" w:hAnsi="Verdana"/>
          <w:sz w:val="20"/>
          <w:szCs w:val="20"/>
        </w:rPr>
      </w:pPr>
      <w:r>
        <w:rPr>
          <w:rFonts w:ascii="Verdana" w:hAnsi="Verdana"/>
          <w:sz w:val="20"/>
          <w:szCs w:val="20"/>
        </w:rPr>
        <w:t>Οι υποβληθέντες φάκελλοι θα πρέπει να φέρουν αριθμό πρωτοκόλλου και στους οποίους θα αναγράφονται τα παρακάτω :</w:t>
      </w:r>
    </w:p>
    <w:p w14:paraId="4E2B8933">
      <w:pPr>
        <w:jc w:val="both"/>
        <w:rPr>
          <w:rFonts w:ascii="Verdana" w:hAnsi="Verdana"/>
          <w:sz w:val="20"/>
          <w:szCs w:val="20"/>
        </w:rPr>
      </w:pPr>
      <w:r>
        <w:rPr>
          <w:rFonts w:ascii="Verdana" w:hAnsi="Verdana"/>
          <w:sz w:val="20"/>
          <w:szCs w:val="20"/>
        </w:rPr>
        <w:t xml:space="preserve">                                                   </w:t>
      </w:r>
    </w:p>
    <w:p w14:paraId="6F775C8E">
      <w:pPr>
        <w:jc w:val="both"/>
        <w:rPr>
          <w:rFonts w:ascii="Verdana" w:hAnsi="Verdana"/>
          <w:b/>
          <w:bCs/>
          <w:sz w:val="20"/>
          <w:szCs w:val="20"/>
        </w:rPr>
      </w:pPr>
      <w:r>
        <w:rPr>
          <w:rFonts w:ascii="Verdana" w:hAnsi="Verdana"/>
          <w:sz w:val="20"/>
          <w:szCs w:val="20"/>
        </w:rPr>
        <w:t xml:space="preserve">                                                               </w:t>
      </w:r>
      <w:r>
        <w:rPr>
          <w:rFonts w:ascii="Verdana" w:hAnsi="Verdana"/>
          <w:b/>
          <w:bCs/>
          <w:sz w:val="20"/>
          <w:szCs w:val="20"/>
        </w:rPr>
        <w:t>ΠΡΟΣΦΟΡΑ</w:t>
      </w:r>
    </w:p>
    <w:p w14:paraId="3C5662E9">
      <w:pPr>
        <w:jc w:val="both"/>
        <w:rPr>
          <w:rFonts w:ascii="Verdana" w:hAnsi="Verdana"/>
          <w:b/>
          <w:bCs/>
          <w:sz w:val="20"/>
          <w:szCs w:val="20"/>
        </w:rPr>
      </w:pPr>
      <w:r>
        <w:rPr>
          <w:rFonts w:ascii="Verdana" w:hAnsi="Verdana"/>
          <w:b/>
          <w:bCs/>
          <w:sz w:val="20"/>
          <w:szCs w:val="20"/>
        </w:rPr>
        <w:t xml:space="preserve">                                               Προς την Επιτροπή Δημοπρασιών</w:t>
      </w:r>
    </w:p>
    <w:p w14:paraId="24F9404C">
      <w:pPr>
        <w:jc w:val="both"/>
        <w:rPr>
          <w:rFonts w:ascii="Verdana" w:hAnsi="Verdana"/>
          <w:b/>
          <w:sz w:val="20"/>
          <w:szCs w:val="20"/>
        </w:rPr>
      </w:pPr>
      <w:r>
        <w:rPr>
          <w:rFonts w:ascii="Verdana" w:hAnsi="Verdana"/>
          <w:b/>
          <w:bCs/>
          <w:sz w:val="20"/>
          <w:szCs w:val="20"/>
        </w:rPr>
        <w:t xml:space="preserve">Για τον πλειοδοτικό διαγωνισμό εκμίσθωσης του κενωθέντος περιπτέρου </w:t>
      </w:r>
      <w:r>
        <w:rPr>
          <w:rStyle w:val="7"/>
          <w:rFonts w:ascii="Verdana" w:hAnsi="Verdana" w:cs="Verdana"/>
          <w:bCs/>
          <w:color w:val="000000"/>
          <w:sz w:val="20"/>
          <w:szCs w:val="20"/>
        </w:rPr>
        <w:t>που βρίσκεται επί τ</w:t>
      </w:r>
      <w:r>
        <w:rPr>
          <w:rStyle w:val="7"/>
          <w:rFonts w:ascii="Verdana" w:hAnsi="Verdana" w:cs="Verdana"/>
          <w:bCs/>
          <w:color w:val="000000"/>
          <w:sz w:val="20"/>
          <w:szCs w:val="20"/>
          <w:lang w:val="el-GR"/>
        </w:rPr>
        <w:t>ης</w:t>
      </w:r>
      <w:r>
        <w:rPr>
          <w:rStyle w:val="7"/>
          <w:rFonts w:ascii="Verdana" w:hAnsi="Verdana" w:cs="Verdana"/>
          <w:bCs/>
          <w:color w:val="000000"/>
          <w:sz w:val="20"/>
          <w:szCs w:val="20"/>
        </w:rPr>
        <w:t xml:space="preserve"> </w:t>
      </w:r>
      <w:r>
        <w:rPr>
          <w:rStyle w:val="7"/>
          <w:rFonts w:ascii="Verdana" w:hAnsi="Verdana" w:cs="Verdana"/>
          <w:bCs/>
          <w:color w:val="000000"/>
          <w:sz w:val="20"/>
          <w:szCs w:val="20"/>
          <w:lang w:val="el-GR"/>
        </w:rPr>
        <w:t>οδού</w:t>
      </w:r>
      <w:r>
        <w:rPr>
          <w:rStyle w:val="7"/>
          <w:rFonts w:hint="default" w:ascii="Verdana" w:hAnsi="Verdana" w:cs="Verdana"/>
          <w:bCs/>
          <w:color w:val="000000"/>
          <w:sz w:val="20"/>
          <w:szCs w:val="20"/>
          <w:lang w:val="el-GR"/>
        </w:rPr>
        <w:t xml:space="preserve"> Δημ. Ι. Περγαντά 26</w:t>
      </w:r>
      <w:r>
        <w:rPr>
          <w:rStyle w:val="7"/>
          <w:rFonts w:ascii="Verdana" w:hAnsi="Verdana" w:cs="Verdana"/>
          <w:bCs/>
          <w:color w:val="000000"/>
          <w:sz w:val="20"/>
          <w:szCs w:val="20"/>
        </w:rPr>
        <w:t>,</w:t>
      </w:r>
      <w:r>
        <w:rPr>
          <w:rStyle w:val="7"/>
          <w:rFonts w:hint="default" w:ascii="Verdana" w:hAnsi="Verdana" w:cs="Verdana"/>
          <w:bCs/>
          <w:color w:val="000000"/>
          <w:sz w:val="20"/>
          <w:szCs w:val="20"/>
          <w:lang w:val="el-GR"/>
        </w:rPr>
        <w:t xml:space="preserve"> </w:t>
      </w:r>
      <w:r>
        <w:rPr>
          <w:rFonts w:ascii="Verdana" w:hAnsi="Verdana"/>
          <w:b/>
          <w:bCs/>
          <w:sz w:val="20"/>
          <w:szCs w:val="20"/>
        </w:rPr>
        <w:t>στην Κοινότητα Λιβαδειάς.</w:t>
      </w:r>
    </w:p>
    <w:p w14:paraId="6E2C35DC">
      <w:pPr>
        <w:jc w:val="both"/>
        <w:rPr>
          <w:rFonts w:ascii="Verdana" w:hAnsi="Verdana"/>
          <w:b/>
          <w:bCs/>
          <w:sz w:val="20"/>
          <w:szCs w:val="20"/>
        </w:rPr>
      </w:pPr>
    </w:p>
    <w:p w14:paraId="08844963">
      <w:pPr>
        <w:jc w:val="both"/>
        <w:rPr>
          <w:rFonts w:ascii="Verdana" w:hAnsi="Verdana"/>
          <w:b/>
          <w:bCs/>
          <w:sz w:val="20"/>
          <w:szCs w:val="20"/>
        </w:rPr>
      </w:pPr>
      <w:r>
        <w:rPr>
          <w:rFonts w:ascii="Verdana" w:hAnsi="Verdana"/>
          <w:b/>
          <w:bCs/>
          <w:sz w:val="20"/>
          <w:szCs w:val="20"/>
        </w:rPr>
        <w:t xml:space="preserve">Στάδιο 2ο. : </w:t>
      </w:r>
      <w:r>
        <w:rPr>
          <w:rFonts w:ascii="Verdana" w:hAnsi="Verdana"/>
          <w:sz w:val="20"/>
          <w:szCs w:val="20"/>
        </w:rPr>
        <w:t>Έλεγχος δικαιολογητικών από τη  Επιτροπή Δημοπρασιών και ανακοίνωση των έγκυρων φακέλων</w:t>
      </w:r>
    </w:p>
    <w:p w14:paraId="37CE0D9B">
      <w:pPr>
        <w:jc w:val="both"/>
        <w:rPr>
          <w:rFonts w:ascii="Verdana" w:hAnsi="Verdana"/>
          <w:b/>
          <w:bCs/>
          <w:sz w:val="20"/>
          <w:szCs w:val="20"/>
        </w:rPr>
      </w:pPr>
      <w:r>
        <w:rPr>
          <w:rFonts w:ascii="Verdana" w:hAnsi="Verdana"/>
          <w:b/>
          <w:bCs/>
          <w:sz w:val="20"/>
          <w:szCs w:val="20"/>
        </w:rPr>
        <w:t xml:space="preserve">Στάδιο 3ο  : </w:t>
      </w:r>
      <w:r>
        <w:rPr>
          <w:rFonts w:ascii="Verdana" w:hAnsi="Verdana"/>
          <w:sz w:val="20"/>
          <w:szCs w:val="20"/>
        </w:rPr>
        <w:t xml:space="preserve">Ώρα έναρξης διαδικασίας φανερού πλειοδοτικού διαγωνισμού </w:t>
      </w:r>
      <w:r>
        <w:rPr>
          <w:rFonts w:ascii="Verdana" w:hAnsi="Verdana"/>
          <w:sz w:val="20"/>
          <w:szCs w:val="20"/>
          <w:shd w:val="clear" w:color="auto" w:fill="FFFF00"/>
        </w:rPr>
        <w:t>12.30 μ.μ.</w:t>
      </w:r>
    </w:p>
    <w:p w14:paraId="125696F1">
      <w:pPr>
        <w:jc w:val="both"/>
        <w:rPr>
          <w:rFonts w:ascii="Verdana" w:hAnsi="Verdana"/>
          <w:sz w:val="20"/>
          <w:szCs w:val="20"/>
        </w:rPr>
      </w:pPr>
      <w:r>
        <w:rPr>
          <w:rFonts w:ascii="Verdana" w:hAnsi="Verdana"/>
          <w:sz w:val="20"/>
          <w:szCs w:val="20"/>
        </w:rPr>
        <w:t xml:space="preserve">                                                                              </w:t>
      </w:r>
    </w:p>
    <w:p w14:paraId="419D46C1">
      <w:pPr>
        <w:jc w:val="center"/>
        <w:rPr>
          <w:rFonts w:ascii="Verdana" w:hAnsi="Verdana"/>
          <w:b/>
          <w:bCs/>
          <w:sz w:val="20"/>
          <w:szCs w:val="20"/>
        </w:rPr>
      </w:pPr>
      <w:r>
        <w:rPr>
          <w:rFonts w:ascii="Verdana" w:hAnsi="Verdana"/>
          <w:b/>
          <w:bCs/>
          <w:sz w:val="20"/>
          <w:szCs w:val="20"/>
        </w:rPr>
        <w:t>Άρθρο 4</w:t>
      </w:r>
    </w:p>
    <w:p w14:paraId="734C4ECD">
      <w:pPr>
        <w:jc w:val="both"/>
        <w:rPr>
          <w:rFonts w:ascii="Verdana" w:hAnsi="Verdana"/>
          <w:b/>
          <w:bCs/>
          <w:sz w:val="20"/>
          <w:szCs w:val="20"/>
        </w:rPr>
      </w:pPr>
      <w:r>
        <w:rPr>
          <w:rFonts w:ascii="Verdana" w:hAnsi="Verdana"/>
          <w:b/>
          <w:bCs/>
          <w:sz w:val="20"/>
          <w:szCs w:val="20"/>
        </w:rPr>
        <w:t xml:space="preserve">                                                     Δικαίωμα συμμετοχής </w:t>
      </w:r>
    </w:p>
    <w:p w14:paraId="4F25A265">
      <w:pPr>
        <w:jc w:val="both"/>
        <w:rPr>
          <w:rFonts w:ascii="Verdana" w:hAnsi="Verdana"/>
          <w:sz w:val="20"/>
          <w:szCs w:val="20"/>
        </w:rPr>
      </w:pPr>
      <w:r>
        <w:rPr>
          <w:rFonts w:ascii="Verdana" w:hAnsi="Verdana"/>
          <w:sz w:val="20"/>
          <w:szCs w:val="20"/>
        </w:rPr>
        <w:t xml:space="preserve">Δικαίωμα συμμετοχής στη δημοπρασία έχουν φυσικά πρόσωπα, νομικά πρόσωπα  και συνεταιρισμοί φυσικών προσώπων, με την προϋπόθεση να προσκομίσουν όλα τα δικαιολογητικά που αναφέρονται στο </w:t>
      </w:r>
      <w:r>
        <w:rPr>
          <w:rFonts w:ascii="Verdana" w:hAnsi="Verdana"/>
          <w:b/>
          <w:bCs/>
          <w:sz w:val="20"/>
          <w:szCs w:val="20"/>
        </w:rPr>
        <w:t xml:space="preserve">άρθρο 5 </w:t>
      </w:r>
      <w:r>
        <w:rPr>
          <w:rFonts w:ascii="Verdana" w:hAnsi="Verdana"/>
          <w:sz w:val="20"/>
          <w:szCs w:val="20"/>
        </w:rPr>
        <w:t>της διακήρυξης.</w:t>
      </w:r>
    </w:p>
    <w:p w14:paraId="51C219ED">
      <w:pPr>
        <w:jc w:val="both"/>
        <w:rPr>
          <w:rFonts w:ascii="Verdana" w:hAnsi="Verdana"/>
          <w:sz w:val="20"/>
          <w:szCs w:val="20"/>
        </w:rPr>
      </w:pPr>
    </w:p>
    <w:p w14:paraId="2E0AD177">
      <w:pPr>
        <w:jc w:val="both"/>
        <w:rPr>
          <w:rFonts w:ascii="Verdana" w:hAnsi="Verdana"/>
          <w:sz w:val="20"/>
          <w:szCs w:val="20"/>
        </w:rPr>
      </w:pPr>
      <w:r>
        <w:rPr>
          <w:rFonts w:ascii="Verdana" w:hAnsi="Verdana"/>
          <w:sz w:val="20"/>
          <w:szCs w:val="20"/>
        </w:rPr>
        <w:t xml:space="preserve">                                                                                                                   </w:t>
      </w:r>
    </w:p>
    <w:p w14:paraId="0C1E9736">
      <w:pPr>
        <w:jc w:val="both"/>
        <w:rPr>
          <w:rFonts w:ascii="Verdana" w:hAnsi="Verdana"/>
          <w:sz w:val="20"/>
          <w:szCs w:val="20"/>
        </w:rPr>
      </w:pPr>
      <w:r>
        <w:rPr>
          <w:rFonts w:ascii="Verdana" w:hAnsi="Verdana"/>
          <w:sz w:val="20"/>
          <w:szCs w:val="20"/>
        </w:rPr>
        <w:t xml:space="preserve">                                                    </w:t>
      </w:r>
    </w:p>
    <w:p w14:paraId="56563968">
      <w:pPr>
        <w:jc w:val="both"/>
        <w:rPr>
          <w:rFonts w:ascii="Verdana" w:hAnsi="Verdana"/>
          <w:sz w:val="20"/>
          <w:szCs w:val="20"/>
        </w:rPr>
      </w:pPr>
      <w:r>
        <w:rPr>
          <w:rFonts w:ascii="Verdana" w:hAnsi="Verdana"/>
          <w:sz w:val="20"/>
          <w:szCs w:val="20"/>
        </w:rPr>
        <w:t xml:space="preserve">                                                             </w:t>
      </w:r>
      <w:r>
        <w:rPr>
          <w:rFonts w:ascii="Verdana" w:hAnsi="Verdana"/>
          <w:b/>
          <w:bCs/>
          <w:sz w:val="20"/>
          <w:szCs w:val="20"/>
        </w:rPr>
        <w:t>Άρθρο  5</w:t>
      </w:r>
    </w:p>
    <w:p w14:paraId="6D5C6CB3">
      <w:pPr>
        <w:jc w:val="both"/>
        <w:rPr>
          <w:rFonts w:ascii="Verdana" w:hAnsi="Verdana"/>
          <w:sz w:val="20"/>
          <w:szCs w:val="20"/>
        </w:rPr>
      </w:pPr>
      <w:r>
        <w:rPr>
          <w:rFonts w:ascii="Verdana" w:hAnsi="Verdana"/>
          <w:b/>
          <w:bCs/>
          <w:sz w:val="20"/>
          <w:szCs w:val="20"/>
        </w:rPr>
        <w:t xml:space="preserve">                                              Δικαιολογητικά  συμμετοχής</w:t>
      </w:r>
    </w:p>
    <w:p w14:paraId="2547D682">
      <w:pPr>
        <w:jc w:val="both"/>
        <w:rPr>
          <w:rFonts w:ascii="Verdana" w:hAnsi="Verdana"/>
          <w:sz w:val="20"/>
          <w:szCs w:val="20"/>
        </w:rPr>
      </w:pPr>
      <w:r>
        <w:rPr>
          <w:rFonts w:ascii="Verdana" w:hAnsi="Verdana"/>
          <w:sz w:val="20"/>
          <w:szCs w:val="20"/>
        </w:rPr>
        <w:t xml:space="preserve">Οι συμμετέχοντες στο διαγωνισμό θα πρέπει να υποβάλλουν στην αρμόδια επιτροπή τα εξής δικαιολογητικά, </w:t>
      </w:r>
      <w:r>
        <w:rPr>
          <w:rFonts w:ascii="Verdana" w:hAnsi="Verdana"/>
          <w:b/>
          <w:bCs/>
          <w:sz w:val="20"/>
          <w:szCs w:val="20"/>
        </w:rPr>
        <w:t>επί ποινή αποκλεισμού:</w:t>
      </w:r>
    </w:p>
    <w:p w14:paraId="659C2BA8">
      <w:pPr>
        <w:jc w:val="both"/>
        <w:rPr>
          <w:rFonts w:ascii="Verdana" w:hAnsi="Verdana"/>
          <w:sz w:val="20"/>
          <w:szCs w:val="20"/>
        </w:rPr>
      </w:pPr>
      <w:r>
        <w:rPr>
          <w:rFonts w:ascii="Verdana" w:hAnsi="Verdana"/>
          <w:sz w:val="20"/>
          <w:szCs w:val="20"/>
        </w:rPr>
        <w:t>1.</w:t>
      </w:r>
      <w:r>
        <w:rPr>
          <w:rFonts w:ascii="Verdana" w:hAnsi="Verdana"/>
          <w:b/>
          <w:bCs/>
          <w:sz w:val="20"/>
          <w:szCs w:val="20"/>
        </w:rPr>
        <w:t xml:space="preserve"> </w:t>
      </w:r>
      <w:r>
        <w:rPr>
          <w:rFonts w:ascii="Verdana" w:hAnsi="Verdana"/>
          <w:sz w:val="20"/>
          <w:szCs w:val="20"/>
        </w:rPr>
        <w:t>Αντίγραφα της αστυνομικής ταυτότητας &amp; του τελευταίου εκκαθαριστικού σημειώματος, καθώς και του εγγυητή τους ή του πληρεξούσιου τους,</w:t>
      </w:r>
    </w:p>
    <w:p w14:paraId="5BFF7DA7">
      <w:pPr>
        <w:jc w:val="both"/>
        <w:rPr>
          <w:rFonts w:ascii="Verdana" w:hAnsi="Verdana"/>
          <w:sz w:val="20"/>
          <w:szCs w:val="20"/>
        </w:rPr>
      </w:pPr>
      <w:r>
        <w:rPr>
          <w:rFonts w:ascii="Verdana" w:hAnsi="Verdana"/>
          <w:sz w:val="20"/>
          <w:szCs w:val="20"/>
        </w:rPr>
        <w:t>2. Απόσπασμα Ποινικού Μητρώου το οποίο να είναι σε ισχύ, καθώς και του εγγυητή τους  ή του πληρεξουσίου τους,</w:t>
      </w:r>
    </w:p>
    <w:p w14:paraId="74FAF7C2">
      <w:pPr>
        <w:jc w:val="both"/>
        <w:rPr>
          <w:rFonts w:ascii="Verdana" w:hAnsi="Verdana"/>
          <w:sz w:val="20"/>
          <w:szCs w:val="20"/>
        </w:rPr>
      </w:pPr>
      <w:r>
        <w:rPr>
          <w:rFonts w:ascii="Verdana" w:hAnsi="Verdana"/>
          <w:sz w:val="20"/>
          <w:szCs w:val="20"/>
        </w:rPr>
        <w:t>3. Πιστοποιητικό του αρμόδιου Πρωτοδικείου ότι δεν έχει πτωχεύσει, ούτε εκκρεμεί εναντίον του σχετική  αίτηση, ούτε βρίσκεται σε πτωχευτικό συμβιβασμό ή πτωχευτική εκκαθάριση ή άλλη ανάλογη πτωχευτική διαδικασία,</w:t>
      </w:r>
    </w:p>
    <w:p w14:paraId="56E60F04">
      <w:pPr>
        <w:jc w:val="both"/>
        <w:rPr>
          <w:rFonts w:ascii="Verdana" w:hAnsi="Verdana"/>
          <w:sz w:val="20"/>
          <w:szCs w:val="20"/>
        </w:rPr>
      </w:pPr>
      <w:r>
        <w:rPr>
          <w:rFonts w:ascii="Verdana" w:hAnsi="Verdana"/>
          <w:sz w:val="20"/>
          <w:szCs w:val="20"/>
        </w:rPr>
        <w:t>4. Υπεύθυνη δήλωση του Ν. 1599/86, με θεωρημένο το γνήσιο της υπογραφής στην οποία θα αναφέρεται ότι έλαβε γνώση της διακήρυξης τους οποίους και αποδέχεται πλήρως  και ανεπιφυλάκτως, παραιτούμενος του δικαιώματος  διζήσεως ή  διαιρέσεως , καθώς και της</w:t>
      </w:r>
    </w:p>
    <w:p w14:paraId="6F2679CC">
      <w:pPr>
        <w:jc w:val="both"/>
        <w:rPr>
          <w:rFonts w:ascii="Verdana" w:hAnsi="Verdana"/>
          <w:sz w:val="20"/>
          <w:szCs w:val="20"/>
        </w:rPr>
      </w:pPr>
      <w:r>
        <w:rPr>
          <w:rFonts w:ascii="Verdana" w:hAnsi="Verdana"/>
          <w:sz w:val="20"/>
          <w:szCs w:val="20"/>
        </w:rPr>
        <w:t>πραγματικής κατάστασης, του προς μίσθωσης χώρου και των ιδιαίτερων συνθηκών που επικρατούν.</w:t>
      </w:r>
    </w:p>
    <w:p w14:paraId="186AC25F">
      <w:pPr>
        <w:jc w:val="both"/>
        <w:rPr>
          <w:rFonts w:ascii="Verdana" w:hAnsi="Verdana"/>
          <w:sz w:val="20"/>
          <w:szCs w:val="20"/>
        </w:rPr>
      </w:pPr>
      <w:r>
        <w:rPr>
          <w:rFonts w:ascii="Verdana" w:hAnsi="Verdana"/>
          <w:sz w:val="20"/>
          <w:szCs w:val="20"/>
        </w:rPr>
        <w:t>5. Υπεύθυνη δήλωση του Ν. 1599/86, με θεωρημένο, το γνήσιο της υπογραφής , του συμμετέχοντα, περί αποδοχής αξιόχρεου εγγυητή , με τα πλήρη προσδιοριστικά του στοιχεία</w:t>
      </w:r>
    </w:p>
    <w:p w14:paraId="08847FC1">
      <w:pPr>
        <w:jc w:val="both"/>
        <w:rPr>
          <w:rFonts w:ascii="Verdana" w:hAnsi="Verdana"/>
          <w:sz w:val="20"/>
          <w:szCs w:val="20"/>
        </w:rPr>
      </w:pPr>
      <w:r>
        <w:rPr>
          <w:rFonts w:ascii="Verdana" w:hAnsi="Verdana"/>
          <w:sz w:val="20"/>
          <w:szCs w:val="20"/>
        </w:rPr>
        <w:t xml:space="preserve">( ονοματεπώνυμο , διεύθυνση κατοικίας, τηλέφωνο κ.λ.π.) και το Α.Φ.Μ. του, </w:t>
      </w:r>
    </w:p>
    <w:p w14:paraId="67EA3578">
      <w:pPr>
        <w:jc w:val="both"/>
        <w:rPr>
          <w:rFonts w:ascii="Verdana" w:hAnsi="Verdana"/>
          <w:sz w:val="20"/>
          <w:szCs w:val="20"/>
        </w:rPr>
      </w:pPr>
      <w:r>
        <w:rPr>
          <w:rFonts w:ascii="Verdana" w:hAnsi="Verdana"/>
          <w:sz w:val="20"/>
          <w:szCs w:val="20"/>
        </w:rPr>
        <w:t>6. Υπεύθυνη δήλωση του Ν. 1599/86, με θεωρημένο το γνήσιο της υπογραφής , του εγγυητή περί αποδοχής ορισμού του, ότι έλαβε πλήρη γνώση των όρων της διακήρυξης και τους αποδέχεται ανεπιφύλακτα , παραιτούμενος του δικαιώματος  διζήσεως ή  διαιρέσεως ,</w:t>
      </w:r>
    </w:p>
    <w:p w14:paraId="4AE75070">
      <w:pPr>
        <w:jc w:val="both"/>
        <w:rPr>
          <w:rFonts w:ascii="Verdana" w:hAnsi="Verdana"/>
          <w:sz w:val="20"/>
          <w:szCs w:val="20"/>
        </w:rPr>
      </w:pPr>
      <w:r>
        <w:rPr>
          <w:rFonts w:ascii="Verdana" w:hAnsi="Verdana"/>
          <w:sz w:val="20"/>
          <w:szCs w:val="20"/>
        </w:rPr>
        <w:t>7. Βεβαίωση φορολογικής ενημερότητας,</w:t>
      </w:r>
    </w:p>
    <w:p w14:paraId="2C871ED5">
      <w:pPr>
        <w:jc w:val="both"/>
        <w:rPr>
          <w:rFonts w:ascii="Verdana" w:hAnsi="Verdana"/>
          <w:sz w:val="20"/>
          <w:szCs w:val="20"/>
        </w:rPr>
      </w:pPr>
      <w:r>
        <w:rPr>
          <w:rFonts w:ascii="Verdana" w:hAnsi="Verdana"/>
          <w:sz w:val="20"/>
          <w:szCs w:val="20"/>
        </w:rPr>
        <w:t>8. Βεβαίωση ασφαλιστικής ενημερότητας  των ιδίων από το ΕΦΚΑ και των φορέων που εντάσσονται στο ΕΦΚΑ, Σε περίπτωση που είναι ανασφάλιστος , βεβαίωση περί μη ασφάλισης ,</w:t>
      </w:r>
    </w:p>
    <w:p w14:paraId="272D69C3">
      <w:pPr>
        <w:jc w:val="both"/>
        <w:rPr>
          <w:rFonts w:ascii="Verdana" w:hAnsi="Verdana"/>
          <w:sz w:val="20"/>
          <w:szCs w:val="20"/>
        </w:rPr>
      </w:pPr>
      <w:r>
        <w:rPr>
          <w:rFonts w:ascii="Verdana" w:hAnsi="Verdana"/>
          <w:sz w:val="20"/>
          <w:szCs w:val="20"/>
        </w:rPr>
        <w:t>9. Δημοτική ενημερότητα περί μη οφειλής του ιδίου (Βεβαίωση της Ταμειακής Υπηρεσίας του Δήμου μας, ότι ο συμμετέχων δεν έχει ληξιπρόθεσμες οφειλές προς τον δήμο ή αν τυχόν έχει τέτοιες , έχει ήδη εισαχθεί σε ρύθμιση και ανταποκρίνεται στις υποχρεώσεις του ανελλιπώς),</w:t>
      </w:r>
    </w:p>
    <w:p w14:paraId="70F1ADB5">
      <w:pPr>
        <w:jc w:val="both"/>
        <w:rPr>
          <w:rFonts w:ascii="Verdana" w:hAnsi="Verdana"/>
          <w:sz w:val="20"/>
          <w:szCs w:val="20"/>
          <w:shd w:val="clear" w:color="auto" w:fill="FFFF00"/>
        </w:rPr>
      </w:pPr>
      <w:r>
        <w:rPr>
          <w:rFonts w:ascii="Verdana" w:hAnsi="Verdana"/>
          <w:sz w:val="20"/>
          <w:szCs w:val="20"/>
        </w:rPr>
        <w:t xml:space="preserve">10. Εγγυητική επιστολή συμμετοχής στη δημοπρασία, ποσού ίσου προς το ένα δέκατο (1/10) του οριζόμενου ελαχίστου ορίου πρώτης προσφοράς της διακήρυξης, </w:t>
      </w:r>
      <w:r>
        <w:rPr>
          <w:rFonts w:ascii="Verdana" w:hAnsi="Verdana"/>
          <w:b/>
          <w:bCs/>
          <w:sz w:val="20"/>
          <w:szCs w:val="20"/>
          <w:shd w:val="clear" w:color="auto" w:fill="FFFF00"/>
        </w:rPr>
        <w:t xml:space="preserve">ήτοι </w:t>
      </w:r>
      <w:r>
        <w:rPr>
          <w:rFonts w:hint="default" w:ascii="Verdana" w:hAnsi="Verdana"/>
          <w:b/>
          <w:bCs/>
          <w:sz w:val="20"/>
          <w:szCs w:val="20"/>
          <w:shd w:val="clear" w:color="auto" w:fill="FFFF00"/>
          <w:lang w:val="el-GR"/>
        </w:rPr>
        <w:t xml:space="preserve"> 360</w:t>
      </w:r>
      <w:r>
        <w:rPr>
          <w:rFonts w:ascii="Verdana" w:hAnsi="Verdana"/>
          <w:b/>
          <w:bCs/>
          <w:sz w:val="20"/>
          <w:szCs w:val="20"/>
          <w:shd w:val="clear" w:color="auto" w:fill="FFFF00"/>
        </w:rPr>
        <w:t>,00  €</w:t>
      </w:r>
      <w:r>
        <w:rPr>
          <w:rFonts w:ascii="Verdana" w:hAnsi="Verdana"/>
          <w:sz w:val="20"/>
          <w:szCs w:val="20"/>
          <w:shd w:val="clear" w:color="auto" w:fill="FFFF00"/>
        </w:rPr>
        <w:t xml:space="preserve"> </w:t>
      </w:r>
    </w:p>
    <w:p w14:paraId="31189152">
      <w:pPr>
        <w:jc w:val="both"/>
        <w:rPr>
          <w:rFonts w:ascii="Verdana" w:hAnsi="Verdana"/>
          <w:sz w:val="20"/>
          <w:szCs w:val="20"/>
        </w:rPr>
      </w:pPr>
      <w:r>
        <w:rPr>
          <w:rFonts w:ascii="Verdana" w:hAnsi="Verdana"/>
          <w:b/>
          <w:sz w:val="20"/>
          <w:szCs w:val="20"/>
          <w:shd w:val="clear" w:color="auto" w:fill="FFFF00"/>
        </w:rPr>
        <w:t>(</w:t>
      </w:r>
      <w:r>
        <w:rPr>
          <w:rFonts w:hint="default" w:ascii="Verdana" w:hAnsi="Verdana"/>
          <w:b/>
          <w:sz w:val="20"/>
          <w:szCs w:val="20"/>
          <w:shd w:val="clear" w:color="auto" w:fill="FFFF00"/>
          <w:lang w:val="el-GR"/>
        </w:rPr>
        <w:t>300,00</w:t>
      </w:r>
      <w:r>
        <w:rPr>
          <w:rFonts w:ascii="Verdana" w:hAnsi="Verdana"/>
          <w:b/>
          <w:sz w:val="20"/>
          <w:szCs w:val="20"/>
          <w:shd w:val="clear" w:color="auto" w:fill="FFFF00"/>
        </w:rPr>
        <w:t xml:space="preserve"> € χ 12 μήνες =  </w:t>
      </w:r>
      <w:r>
        <w:rPr>
          <w:rFonts w:hint="default" w:ascii="Verdana" w:hAnsi="Verdana"/>
          <w:b/>
          <w:sz w:val="20"/>
          <w:szCs w:val="20"/>
          <w:shd w:val="clear" w:color="auto" w:fill="FFFF00"/>
          <w:lang w:val="el-GR"/>
        </w:rPr>
        <w:t>3.600,00</w:t>
      </w:r>
      <w:r>
        <w:rPr>
          <w:rFonts w:ascii="Verdana" w:hAnsi="Verdana"/>
          <w:b/>
          <w:sz w:val="20"/>
          <w:szCs w:val="20"/>
          <w:shd w:val="clear" w:color="auto" w:fill="FFFF00"/>
        </w:rPr>
        <w:t xml:space="preserve"> € χ 10%)</w:t>
      </w:r>
    </w:p>
    <w:p w14:paraId="18C80F47">
      <w:pPr>
        <w:jc w:val="both"/>
        <w:rPr>
          <w:rFonts w:ascii="Verdana" w:hAnsi="Verdana"/>
          <w:sz w:val="20"/>
          <w:szCs w:val="20"/>
        </w:rPr>
      </w:pPr>
      <w:r>
        <w:rPr>
          <w:rFonts w:ascii="Verdana" w:hAnsi="Verdana"/>
          <w:sz w:val="20"/>
          <w:szCs w:val="20"/>
        </w:rPr>
        <w:t>11. Νομιμοποιητικά  έγγραφα  εκπροσώπησης, εφόσον  ο διαγωνιζόμενος  συμμετέχει στη δημοπρασία με εκπρόσωπο, και επισύναψη εγγράφου  εξουσιοδοτήσεως με θεώρηση  του</w:t>
      </w:r>
    </w:p>
    <w:p w14:paraId="204304F0">
      <w:pPr>
        <w:jc w:val="both"/>
        <w:rPr>
          <w:rFonts w:ascii="Verdana" w:hAnsi="Verdana"/>
          <w:sz w:val="20"/>
          <w:szCs w:val="20"/>
        </w:rPr>
      </w:pPr>
      <w:r>
        <w:rPr>
          <w:rFonts w:ascii="Verdana" w:hAnsi="Verdana"/>
          <w:sz w:val="20"/>
          <w:szCs w:val="20"/>
        </w:rPr>
        <w:t>γνησίου της υπογραφής του νομίμου εκπροσώπου , από την αρμόδια κατά τον νόμο αρχή,</w:t>
      </w:r>
    </w:p>
    <w:p w14:paraId="7C498274">
      <w:pPr>
        <w:jc w:val="both"/>
        <w:rPr>
          <w:rFonts w:ascii="Verdana" w:hAnsi="Verdana"/>
          <w:sz w:val="20"/>
          <w:szCs w:val="20"/>
        </w:rPr>
      </w:pPr>
      <w:r>
        <w:rPr>
          <w:rFonts w:ascii="Verdana" w:hAnsi="Verdana"/>
          <w:sz w:val="20"/>
          <w:szCs w:val="20"/>
        </w:rPr>
        <w:t xml:space="preserve"> 12. Υπεύθυνη δήλωση του Ν. 1599/86, με θεωρημένο το γνήσιο της υπογραφής στην οποία θα αναφέρεται ότι δεν έχει αποκλειστεί από διαγωνισμό δημοσίου.</w:t>
      </w:r>
    </w:p>
    <w:p w14:paraId="5C8994D5">
      <w:pPr>
        <w:jc w:val="both"/>
        <w:rPr>
          <w:rFonts w:ascii="Verdana" w:hAnsi="Verdana"/>
          <w:sz w:val="20"/>
          <w:szCs w:val="20"/>
        </w:rPr>
      </w:pPr>
      <w:r>
        <w:rPr>
          <w:rFonts w:ascii="Verdana" w:hAnsi="Verdana"/>
          <w:sz w:val="20"/>
          <w:szCs w:val="20"/>
        </w:rPr>
        <w:t xml:space="preserve">Όταν στην πρόσκληση συμμετέχει </w:t>
      </w:r>
      <w:r>
        <w:rPr>
          <w:rFonts w:ascii="Verdana" w:hAnsi="Verdana"/>
          <w:b/>
          <w:bCs/>
          <w:sz w:val="20"/>
          <w:szCs w:val="20"/>
        </w:rPr>
        <w:t xml:space="preserve">εταιρεία : </w:t>
      </w:r>
    </w:p>
    <w:p w14:paraId="3EF5F63C">
      <w:pPr>
        <w:jc w:val="both"/>
        <w:rPr>
          <w:rFonts w:ascii="Verdana" w:hAnsi="Verdana"/>
          <w:sz w:val="20"/>
          <w:szCs w:val="20"/>
        </w:rPr>
      </w:pPr>
      <w:r>
        <w:rPr>
          <w:rFonts w:ascii="Verdana" w:hAnsi="Verdana"/>
          <w:sz w:val="20"/>
          <w:szCs w:val="20"/>
        </w:rPr>
        <w:t xml:space="preserve"> Ι)  Στο όνομα της εταιρείας θα εκδίδονται τα με αριθμούς 3,5,6,7,8,9, δικαιολογητικά</w:t>
      </w:r>
    </w:p>
    <w:p w14:paraId="6FFC0A0D">
      <w:pPr>
        <w:jc w:val="both"/>
        <w:rPr>
          <w:rFonts w:ascii="Verdana" w:hAnsi="Verdana"/>
          <w:sz w:val="20"/>
          <w:szCs w:val="20"/>
        </w:rPr>
      </w:pPr>
      <w:r>
        <w:rPr>
          <w:rFonts w:ascii="Verdana" w:hAnsi="Verdana"/>
          <w:sz w:val="20"/>
          <w:szCs w:val="20"/>
        </w:rPr>
        <w:t xml:space="preserve"> ΙΙ) Στο όνομα των εταίρων  προκειμένου περί Ο.Ε., Ε.Ε. και ΕΠΕ, στο όνομα των διαχειριστών περί  Ι.Κ.Ε., στο όνομα του μονοπρόσωπου  εταίρου  Ι.Κ.Ε., καθώς και στο όνομα  των μελών του Διοικητικού Συμβουλίου των Α.Ε. , εφόσον είναι και μέτοχοι με ποσοστό τουλάχιστον 3% στο μετοχικό  κεφάλαιο, θα εκδίδονται με αριθμούς 1,2,6,7, και 8 δικαιολογητικά,</w:t>
      </w:r>
    </w:p>
    <w:p w14:paraId="13C54AE8">
      <w:pPr>
        <w:jc w:val="both"/>
        <w:rPr>
          <w:rFonts w:ascii="Verdana" w:hAnsi="Verdana"/>
          <w:sz w:val="20"/>
          <w:szCs w:val="20"/>
        </w:rPr>
      </w:pPr>
      <w:r>
        <w:rPr>
          <w:rFonts w:ascii="Verdana" w:hAnsi="Verdana"/>
          <w:sz w:val="20"/>
          <w:szCs w:val="20"/>
        </w:rPr>
        <w:t xml:space="preserve"> ΙΙΙ) Στο όνομα ενός εκ των ομόρρυθμων εταίρων ως νόμιμος εκπρόσωπος  της  επιχείρισης προκειμένου  περί Ο.Ε. ή Ε.Ε. και στο όνομα των νομίμων εκπροσώπων περί Ε.Π.Ε., Ι.Κ.Ε. ή όταν  η εταιρεία είναι Α.Ε. θα εκδίδονται τα με αριθμούς 4 και 10 δικαιολογητικά,</w:t>
      </w:r>
    </w:p>
    <w:p w14:paraId="7216FA81">
      <w:pPr>
        <w:jc w:val="both"/>
        <w:rPr>
          <w:rFonts w:ascii="Verdana" w:hAnsi="Verdana"/>
          <w:sz w:val="20"/>
          <w:szCs w:val="20"/>
        </w:rPr>
      </w:pPr>
      <w:r>
        <w:rPr>
          <w:rFonts w:ascii="Verdana" w:hAnsi="Verdana"/>
          <w:sz w:val="20"/>
          <w:szCs w:val="20"/>
        </w:rPr>
        <w:t xml:space="preserve"> Ι</w:t>
      </w:r>
      <w:r>
        <w:rPr>
          <w:rFonts w:ascii="Verdana" w:hAnsi="Verdana"/>
          <w:sz w:val="20"/>
          <w:szCs w:val="20"/>
          <w:lang w:val="en-US"/>
        </w:rPr>
        <w:t>V</w:t>
      </w:r>
      <w:r>
        <w:rPr>
          <w:rFonts w:ascii="Verdana" w:hAnsi="Verdana"/>
          <w:sz w:val="20"/>
          <w:szCs w:val="20"/>
        </w:rPr>
        <w:t>) Όλες οι εταιρείες θα προσκομίζουν τα καταστατικά ή εταιρικά τους καθώς και όλες τις τροποποιήσεις τους. Επιπλέον , οι μεν ΑΕ, πιστοποιητικό του Γ.ΕΜΗ. περί του καταστατικού και τυχών τροποποιήσεων του, καθώς και τα ΦΕΚ που έχουν δημοσιευθεί, οι δε λοιπές (Ε.Π.Ε, Ι.Κ.Ε, Ο.Ε, Ε.Ε.) πιστοποιτικό του Γ.Ε.ΜΗ. που  θα αναφέρεται η σύσταση και οι τροποποιήσεις.</w:t>
      </w:r>
    </w:p>
    <w:p w14:paraId="6B2FDEB0">
      <w:pPr>
        <w:jc w:val="both"/>
        <w:rPr>
          <w:rFonts w:ascii="Verdana" w:hAnsi="Verdana"/>
          <w:sz w:val="20"/>
          <w:szCs w:val="20"/>
        </w:rPr>
      </w:pPr>
      <w:r>
        <w:rPr>
          <w:rFonts w:ascii="Verdana" w:hAnsi="Verdana"/>
          <w:sz w:val="20"/>
          <w:szCs w:val="20"/>
          <w:lang w:val="en-US"/>
        </w:rPr>
        <w:t>V</w:t>
      </w:r>
      <w:r>
        <w:rPr>
          <w:rFonts w:ascii="Verdana" w:hAnsi="Verdana"/>
          <w:sz w:val="20"/>
          <w:szCs w:val="20"/>
        </w:rPr>
        <w:t>) Οι  κεφαλαιουχικές εταιρείες (Ε.Π.Ε, Ι.Κ.Ε, Α.Ε.) απόφαση του Δ.Σ. της, για συμμετοχή στον παρόντα διαγωνισμό και του προσώπου που εξουσιοδοτεί με την απόφαση αυτή να συμμετέχει.</w:t>
      </w:r>
    </w:p>
    <w:p w14:paraId="4684695B">
      <w:pPr>
        <w:jc w:val="both"/>
        <w:rPr>
          <w:rFonts w:ascii="Verdana" w:hAnsi="Verdana"/>
          <w:sz w:val="20"/>
          <w:szCs w:val="20"/>
        </w:rPr>
      </w:pPr>
      <w:r>
        <w:rPr>
          <w:rFonts w:ascii="Verdana" w:hAnsi="Verdana"/>
          <w:sz w:val="20"/>
          <w:szCs w:val="20"/>
        </w:rPr>
        <w:t>Τα συμμετέχοντα από κοινού φυσικά ή νομικά πρόσωπα ευθύνονται αλληλεγγύως και σε ολόκληρο.</w:t>
      </w:r>
    </w:p>
    <w:p w14:paraId="71522D7D">
      <w:pPr>
        <w:jc w:val="both"/>
        <w:rPr>
          <w:rFonts w:ascii="Verdana" w:hAnsi="Verdana"/>
          <w:sz w:val="20"/>
          <w:szCs w:val="20"/>
        </w:rPr>
      </w:pPr>
      <w:r>
        <w:rPr>
          <w:rFonts w:ascii="Verdana" w:hAnsi="Verdana"/>
          <w:sz w:val="20"/>
          <w:szCs w:val="20"/>
        </w:rPr>
        <w:t>Η έλλειψη ενός ή περισσοτέρων εκ των παραπάνω δικαιολογητικών αποκλείει τον ενδιαφερόμενο από την διαδικασία της συμμετοχής . Την ευθύνη για την συγκέντρωση και την εκπρόθεσμη κατάθεση των δικαιολογητικών την φέρει αποκλειστικά και μόνο ο ενδιαφερόμενος.</w:t>
      </w:r>
    </w:p>
    <w:p w14:paraId="3AB563AD">
      <w:pPr>
        <w:jc w:val="both"/>
        <w:rPr>
          <w:rFonts w:ascii="Verdana" w:hAnsi="Verdana"/>
          <w:sz w:val="20"/>
          <w:szCs w:val="20"/>
        </w:rPr>
      </w:pPr>
      <w:r>
        <w:rPr>
          <w:rFonts w:ascii="Verdana" w:hAnsi="Verdana"/>
          <w:sz w:val="20"/>
          <w:szCs w:val="20"/>
        </w:rPr>
        <w:t>Επίσης, αποκλείονται από την διαδικασία επιλογής όσοι έχουν καταδικαστεί :</w:t>
      </w:r>
    </w:p>
    <w:p w14:paraId="43013D66">
      <w:pPr>
        <w:jc w:val="both"/>
        <w:rPr>
          <w:rFonts w:ascii="Verdana" w:hAnsi="Verdana"/>
          <w:sz w:val="20"/>
          <w:szCs w:val="20"/>
        </w:rPr>
      </w:pPr>
      <w:r>
        <w:rPr>
          <w:rFonts w:ascii="Verdana" w:hAnsi="Verdana"/>
          <w:sz w:val="20"/>
          <w:szCs w:val="20"/>
        </w:rPr>
        <w:t xml:space="preserve"> α) για κλοπή, υπεξαίρεση, απάτη, απιστία , εκβίαση, πλαστογραφία, δωροδοκία, νομιμοποίηση εσόδων από παράνομες δραστηριότητες ,</w:t>
      </w:r>
    </w:p>
    <w:p w14:paraId="4D20A5D6">
      <w:pPr>
        <w:jc w:val="both"/>
        <w:rPr>
          <w:rFonts w:ascii="Verdana" w:hAnsi="Verdana"/>
          <w:sz w:val="20"/>
          <w:szCs w:val="20"/>
        </w:rPr>
      </w:pPr>
      <w:r>
        <w:rPr>
          <w:rFonts w:ascii="Verdana" w:hAnsi="Verdana"/>
          <w:sz w:val="20"/>
          <w:szCs w:val="20"/>
        </w:rPr>
        <w:t xml:space="preserve"> β) για παραβίαση των διατάξεων των νόμων περί ηθών και λεσχών,</w:t>
      </w:r>
    </w:p>
    <w:p w14:paraId="1ADF094C">
      <w:pPr>
        <w:jc w:val="both"/>
        <w:rPr>
          <w:rFonts w:ascii="Verdana" w:hAnsi="Verdana"/>
          <w:sz w:val="20"/>
          <w:szCs w:val="20"/>
        </w:rPr>
      </w:pPr>
      <w:r>
        <w:rPr>
          <w:rFonts w:ascii="Verdana" w:hAnsi="Verdana"/>
          <w:sz w:val="20"/>
          <w:szCs w:val="20"/>
        </w:rPr>
        <w:t xml:space="preserve"> γ)  για παραβίαση της περί συναλλάγματος νομοθεσίας. Σε περίπτωση εταιρείας αυτό ισχύει για όλους τους εταίρους σε Ο.Ε., Ε.Ε., Ι.Κ.Ε και όλα τα μέλη του Δ.Σ. για Α.Ε., </w:t>
      </w:r>
    </w:p>
    <w:p w14:paraId="137F6572">
      <w:pPr>
        <w:jc w:val="both"/>
        <w:rPr>
          <w:rFonts w:ascii="Verdana" w:hAnsi="Verdana"/>
          <w:sz w:val="20"/>
          <w:szCs w:val="20"/>
        </w:rPr>
      </w:pPr>
      <w:r>
        <w:rPr>
          <w:rFonts w:ascii="Verdana" w:hAnsi="Verdana"/>
          <w:sz w:val="20"/>
          <w:szCs w:val="20"/>
        </w:rPr>
        <w:t xml:space="preserve"> δ) για παράβαση της περί ναρκωτικών νομοθεσίας και </w:t>
      </w:r>
    </w:p>
    <w:p w14:paraId="66392080">
      <w:pPr>
        <w:jc w:val="both"/>
        <w:rPr>
          <w:rFonts w:ascii="Verdana" w:hAnsi="Verdana"/>
          <w:sz w:val="20"/>
          <w:szCs w:val="20"/>
        </w:rPr>
      </w:pPr>
      <w:r>
        <w:rPr>
          <w:rFonts w:ascii="Verdana" w:hAnsi="Verdana"/>
          <w:sz w:val="20"/>
          <w:szCs w:val="20"/>
        </w:rPr>
        <w:t xml:space="preserve"> ε) όσοι βρίσκονται σε πτώχευση ή εκκρεμεί εναντίον τους σχετική αίτηση ή βρίσκονται σε πτωχευτικό συμβιβασμό ή πτωχευτική εκκαθάριση ή άλλη ανάλογη πτωχευτική διαδικασίας</w:t>
      </w:r>
    </w:p>
    <w:p w14:paraId="5B911B97">
      <w:pPr>
        <w:jc w:val="both"/>
        <w:rPr>
          <w:rFonts w:ascii="Verdana" w:hAnsi="Verdana"/>
          <w:sz w:val="20"/>
          <w:szCs w:val="20"/>
        </w:rPr>
      </w:pPr>
      <w:r>
        <w:rPr>
          <w:rFonts w:ascii="Verdana" w:hAnsi="Verdana"/>
          <w:sz w:val="20"/>
          <w:szCs w:val="20"/>
        </w:rPr>
        <w:t xml:space="preserve"> στ)  όσοι έχουν ληξιπρόθεσμες  οφειλές στον Δήμο  Λεβαδέων, τις οποίες δεν έχουν ρυθμίσει ή αν τις έχουν, δεν ανταποκρίνονται στις υποχρεώσεις αυτές που απορρέουν από την ρύθμιση αυτή.</w:t>
      </w:r>
    </w:p>
    <w:p w14:paraId="61352366">
      <w:pPr>
        <w:jc w:val="both"/>
        <w:rPr>
          <w:rFonts w:ascii="Verdana" w:hAnsi="Verdana"/>
          <w:sz w:val="20"/>
          <w:szCs w:val="20"/>
        </w:rPr>
      </w:pPr>
    </w:p>
    <w:p w14:paraId="018A512A">
      <w:pPr>
        <w:jc w:val="both"/>
        <w:rPr>
          <w:rFonts w:ascii="Verdana" w:hAnsi="Verdana"/>
          <w:sz w:val="20"/>
          <w:szCs w:val="20"/>
        </w:rPr>
      </w:pPr>
      <w:r>
        <w:rPr>
          <w:rFonts w:ascii="Verdana" w:hAnsi="Verdana"/>
          <w:sz w:val="20"/>
          <w:szCs w:val="20"/>
        </w:rPr>
        <w:t xml:space="preserve">                                                               </w:t>
      </w:r>
      <w:r>
        <w:rPr>
          <w:rFonts w:ascii="Verdana" w:hAnsi="Verdana"/>
          <w:b/>
          <w:bCs/>
          <w:sz w:val="20"/>
          <w:szCs w:val="20"/>
        </w:rPr>
        <w:t xml:space="preserve">Άρθρο  6 </w:t>
      </w:r>
    </w:p>
    <w:p w14:paraId="6CB95C22">
      <w:pPr>
        <w:jc w:val="both"/>
        <w:rPr>
          <w:rFonts w:ascii="Verdana" w:hAnsi="Verdana"/>
          <w:b/>
          <w:bCs/>
          <w:sz w:val="20"/>
          <w:szCs w:val="20"/>
        </w:rPr>
      </w:pPr>
      <w:r>
        <w:rPr>
          <w:rFonts w:ascii="Verdana" w:hAnsi="Verdana"/>
          <w:b/>
          <w:bCs/>
          <w:sz w:val="20"/>
          <w:szCs w:val="20"/>
        </w:rPr>
        <w:t xml:space="preserve">                                           Ελάχιστο όριο της προσφοράς                                      </w:t>
      </w:r>
    </w:p>
    <w:p w14:paraId="2E26A5CC">
      <w:pPr>
        <w:jc w:val="both"/>
        <w:rPr>
          <w:rFonts w:ascii="Verdana" w:hAnsi="Verdana"/>
          <w:sz w:val="20"/>
          <w:szCs w:val="20"/>
          <w:shd w:val="clear" w:color="auto" w:fill="FFFF00"/>
        </w:rPr>
      </w:pPr>
      <w:r>
        <w:rPr>
          <w:rFonts w:ascii="Verdana" w:hAnsi="Verdana"/>
          <w:sz w:val="20"/>
          <w:szCs w:val="20"/>
        </w:rPr>
        <w:t xml:space="preserve">Για τον καθορισμό της τιμής εκκίνησης του καταβλητέου μισθώματος, </w:t>
      </w:r>
      <w:r>
        <w:rPr>
          <w:rFonts w:ascii="Verdana" w:hAnsi="Verdana"/>
          <w:sz w:val="20"/>
          <w:szCs w:val="20"/>
          <w:lang w:val="el-GR"/>
        </w:rPr>
        <w:t>ύστερα</w:t>
      </w:r>
      <w:r>
        <w:rPr>
          <w:rFonts w:hint="default" w:ascii="Verdana" w:hAnsi="Verdana"/>
          <w:sz w:val="20"/>
          <w:szCs w:val="20"/>
          <w:lang w:val="el-GR"/>
        </w:rPr>
        <w:t xml:space="preserve"> από την υπ’ αρθμ. 4/2026 απόφαση της επιτροπής αξιολόγησης περουσιακών στοιχείων του άρθρου 563 παρ. 1 του Ν.5314/2026, εισηγείται κ</w:t>
      </w:r>
      <w:r>
        <w:rPr>
          <w:rFonts w:ascii="Verdana" w:hAnsi="Verdana"/>
          <w:sz w:val="20"/>
          <w:szCs w:val="20"/>
        </w:rPr>
        <w:t>ατώτατο όριο προσφοράς (τιμή εκκίνησης) για τ</w:t>
      </w:r>
      <w:r>
        <w:rPr>
          <w:rFonts w:ascii="Verdana" w:hAnsi="Verdana"/>
          <w:sz w:val="20"/>
          <w:szCs w:val="20"/>
          <w:lang w:val="el-GR"/>
        </w:rPr>
        <w:t>ο</w:t>
      </w:r>
      <w:r>
        <w:rPr>
          <w:rFonts w:ascii="Verdana" w:hAnsi="Verdana"/>
          <w:sz w:val="20"/>
          <w:szCs w:val="20"/>
        </w:rPr>
        <w:t xml:space="preserve"> δημοπρατούμεν</w:t>
      </w:r>
      <w:r>
        <w:rPr>
          <w:rFonts w:ascii="Verdana" w:hAnsi="Verdana"/>
          <w:sz w:val="20"/>
          <w:szCs w:val="20"/>
          <w:lang w:val="el-GR"/>
        </w:rPr>
        <w:t>ο</w:t>
      </w:r>
      <w:r>
        <w:rPr>
          <w:rFonts w:ascii="Verdana" w:hAnsi="Verdana"/>
          <w:sz w:val="20"/>
          <w:szCs w:val="20"/>
        </w:rPr>
        <w:t xml:space="preserve"> </w:t>
      </w:r>
      <w:r>
        <w:rPr>
          <w:rFonts w:ascii="Verdana" w:hAnsi="Verdana"/>
          <w:sz w:val="20"/>
          <w:szCs w:val="20"/>
          <w:lang w:val="el-GR"/>
        </w:rPr>
        <w:t>ακίνητο</w:t>
      </w:r>
      <w:r>
        <w:rPr>
          <w:rFonts w:ascii="Verdana" w:hAnsi="Verdana"/>
          <w:sz w:val="20"/>
          <w:szCs w:val="20"/>
        </w:rPr>
        <w:t xml:space="preserve">, </w:t>
      </w:r>
      <w:r>
        <w:rPr>
          <w:rFonts w:ascii="Verdana" w:hAnsi="Verdana"/>
          <w:b/>
          <w:bCs/>
          <w:sz w:val="20"/>
          <w:szCs w:val="20"/>
          <w:shd w:val="clear" w:color="auto" w:fill="FFFF00"/>
        </w:rPr>
        <w:t xml:space="preserve">ανά μήνα, </w:t>
      </w:r>
      <w:r>
        <w:rPr>
          <w:rFonts w:ascii="Verdana" w:hAnsi="Verdana"/>
          <w:sz w:val="20"/>
          <w:szCs w:val="20"/>
          <w:shd w:val="clear" w:color="auto" w:fill="FFFF00"/>
        </w:rPr>
        <w:t xml:space="preserve">το ποσό </w:t>
      </w:r>
      <w:r>
        <w:rPr>
          <w:rFonts w:ascii="Verdana" w:hAnsi="Verdana"/>
          <w:sz w:val="20"/>
          <w:szCs w:val="20"/>
          <w:shd w:val="clear" w:color="auto" w:fill="FFFF00"/>
          <w:lang w:val="el-GR"/>
        </w:rPr>
        <w:t>των</w:t>
      </w:r>
      <w:r>
        <w:rPr>
          <w:rFonts w:hint="default" w:ascii="Verdana" w:hAnsi="Verdana"/>
          <w:sz w:val="20"/>
          <w:szCs w:val="20"/>
          <w:shd w:val="clear" w:color="auto" w:fill="FFFF00"/>
          <w:lang w:val="el-GR"/>
        </w:rPr>
        <w:t xml:space="preserve">  </w:t>
      </w:r>
      <w:r>
        <w:rPr>
          <w:rFonts w:hint="default" w:ascii="Verdana" w:hAnsi="Verdana"/>
          <w:b/>
          <w:sz w:val="20"/>
          <w:szCs w:val="20"/>
          <w:shd w:val="clear" w:color="auto" w:fill="FFFF00"/>
          <w:lang w:val="el-GR"/>
        </w:rPr>
        <w:t>30</w:t>
      </w:r>
      <w:r>
        <w:rPr>
          <w:rFonts w:ascii="Verdana" w:hAnsi="Verdana"/>
          <w:b/>
          <w:sz w:val="20"/>
          <w:szCs w:val="20"/>
          <w:shd w:val="clear" w:color="auto" w:fill="FFFF00"/>
        </w:rPr>
        <w:t>0,00</w:t>
      </w:r>
      <w:r>
        <w:rPr>
          <w:rFonts w:ascii="Verdana" w:hAnsi="Verdana"/>
          <w:b/>
          <w:bCs/>
          <w:sz w:val="20"/>
          <w:szCs w:val="20"/>
          <w:shd w:val="clear" w:color="auto" w:fill="FFFF00"/>
        </w:rPr>
        <w:t xml:space="preserve"> ευρώ/μηνιαίως,</w:t>
      </w:r>
      <w:r>
        <w:rPr>
          <w:rFonts w:ascii="Verdana" w:hAnsi="Verdana"/>
          <w:sz w:val="20"/>
          <w:szCs w:val="20"/>
          <w:shd w:val="clear" w:color="auto" w:fill="FFFF00"/>
        </w:rPr>
        <w:t xml:space="preserve"> </w:t>
      </w:r>
      <w:r>
        <w:rPr>
          <w:rFonts w:hint="default" w:ascii="Verdana" w:hAnsi="Verdana"/>
          <w:sz w:val="20"/>
          <w:szCs w:val="20"/>
          <w:shd w:val="clear" w:color="auto" w:fill="FFFF00"/>
          <w:lang w:val="el-GR"/>
        </w:rPr>
        <w:t xml:space="preserve"> </w:t>
      </w:r>
      <w:r>
        <w:rPr>
          <w:rFonts w:ascii="Verdana" w:hAnsi="Verdana"/>
          <w:b/>
          <w:sz w:val="20"/>
          <w:szCs w:val="20"/>
          <w:shd w:val="clear" w:color="auto" w:fill="FFFF00"/>
        </w:rPr>
        <w:t xml:space="preserve">ήτοι </w:t>
      </w:r>
      <w:r>
        <w:rPr>
          <w:rFonts w:hint="default" w:ascii="Verdana" w:hAnsi="Verdana"/>
          <w:b/>
          <w:sz w:val="20"/>
          <w:szCs w:val="20"/>
          <w:shd w:val="clear" w:color="auto" w:fill="FFFF00"/>
          <w:lang w:val="el-GR"/>
        </w:rPr>
        <w:t>3.600</w:t>
      </w:r>
      <w:r>
        <w:rPr>
          <w:rFonts w:ascii="Verdana" w:hAnsi="Verdana"/>
          <w:b/>
          <w:sz w:val="20"/>
          <w:szCs w:val="20"/>
          <w:shd w:val="clear" w:color="auto" w:fill="FFFF00"/>
        </w:rPr>
        <w:t xml:space="preserve">,00  </w:t>
      </w:r>
      <w:r>
        <w:rPr>
          <w:rFonts w:ascii="Verdana" w:hAnsi="Verdana"/>
          <w:b/>
          <w:bCs/>
          <w:sz w:val="20"/>
          <w:szCs w:val="20"/>
          <w:shd w:val="clear" w:color="auto" w:fill="FFFF00"/>
        </w:rPr>
        <w:t>ευρώ/ετησίως</w:t>
      </w:r>
      <w:r>
        <w:rPr>
          <w:rFonts w:ascii="Verdana" w:hAnsi="Verdana"/>
          <w:sz w:val="20"/>
          <w:szCs w:val="20"/>
          <w:shd w:val="clear" w:color="auto" w:fill="FFFF00"/>
        </w:rPr>
        <w:t>.</w:t>
      </w:r>
    </w:p>
    <w:p w14:paraId="3731489B">
      <w:pPr>
        <w:jc w:val="both"/>
        <w:rPr>
          <w:rFonts w:hint="default" w:ascii="Verdana" w:hAnsi="Verdana"/>
          <w:sz w:val="20"/>
          <w:szCs w:val="20"/>
          <w:shd w:val="clear" w:color="auto" w:fill="FFFF00"/>
          <w:lang w:val="el-GR"/>
        </w:rPr>
      </w:pPr>
      <w:r>
        <w:rPr>
          <w:rFonts w:ascii="Verdana" w:hAnsi="Verdana"/>
          <w:sz w:val="20"/>
          <w:szCs w:val="20"/>
          <w:shd w:val="clear" w:color="auto" w:fill="FFFF00"/>
          <w:lang w:val="el-GR"/>
        </w:rPr>
        <w:t>Σε</w:t>
      </w:r>
      <w:r>
        <w:rPr>
          <w:rFonts w:hint="default" w:ascii="Verdana" w:hAnsi="Verdana"/>
          <w:sz w:val="20"/>
          <w:szCs w:val="20"/>
          <w:shd w:val="clear" w:color="auto" w:fill="FFFF00"/>
          <w:lang w:val="el-GR"/>
        </w:rPr>
        <w:t xml:space="preserve"> περίπτωση μετακίνησης του περιπτέορυ λόγω έργων κλπ. η τιμή δεν θα μεταβληθεί και δεν θα υπάρχουν αξιώσεις προς τον Δήμο Λιβαδειάς.</w:t>
      </w:r>
    </w:p>
    <w:p w14:paraId="5FD5F5AA">
      <w:pPr>
        <w:jc w:val="both"/>
        <w:rPr>
          <w:rFonts w:ascii="Verdana" w:hAnsi="Verdana"/>
          <w:sz w:val="20"/>
          <w:szCs w:val="20"/>
        </w:rPr>
      </w:pPr>
      <w:r>
        <w:rPr>
          <w:rFonts w:ascii="Verdana" w:hAnsi="Verdana"/>
          <w:sz w:val="20"/>
          <w:szCs w:val="20"/>
        </w:rPr>
        <w:t xml:space="preserve">Κάθε προσφορά οφείλει να είναι κατά 10,00€ τουλάχιστον μεγαλύτερη της προηγούμενη και είναι δεσμευτική για τον υποψήφιο πλειοδότη, η δέσμευση δε αυτή δεν μεταβαίνει αλληλοδιαδόχως από τον πρώτο στους ακόλουθους και επιβαρύνει οριστικά τον τελευταίο πλειοδότη.                                                                                                                                                                            </w:t>
      </w:r>
    </w:p>
    <w:p w14:paraId="0C453E93">
      <w:pPr>
        <w:jc w:val="center"/>
        <w:rPr>
          <w:rFonts w:ascii="Verdana" w:hAnsi="Verdana"/>
          <w:sz w:val="20"/>
          <w:szCs w:val="20"/>
        </w:rPr>
      </w:pPr>
      <w:r>
        <w:rPr>
          <w:rFonts w:ascii="Verdana" w:hAnsi="Verdana"/>
          <w:b/>
          <w:bCs/>
          <w:sz w:val="20"/>
          <w:szCs w:val="20"/>
        </w:rPr>
        <w:t>Άρθρο 7</w:t>
      </w:r>
    </w:p>
    <w:p w14:paraId="1FAEC291">
      <w:pPr>
        <w:jc w:val="center"/>
        <w:rPr>
          <w:rFonts w:ascii="Verdana" w:hAnsi="Verdana"/>
          <w:b/>
          <w:bCs/>
          <w:sz w:val="20"/>
          <w:szCs w:val="20"/>
        </w:rPr>
      </w:pPr>
      <w:r>
        <w:rPr>
          <w:rFonts w:ascii="Verdana" w:hAnsi="Verdana"/>
          <w:b/>
          <w:bCs/>
          <w:sz w:val="20"/>
          <w:szCs w:val="20"/>
        </w:rPr>
        <w:t>Εγγυητής</w:t>
      </w:r>
    </w:p>
    <w:p w14:paraId="7983C249">
      <w:pPr>
        <w:jc w:val="both"/>
        <w:rPr>
          <w:rFonts w:ascii="Verdana" w:hAnsi="Verdana"/>
          <w:sz w:val="20"/>
          <w:szCs w:val="20"/>
        </w:rPr>
      </w:pPr>
      <w:r>
        <w:rPr>
          <w:rFonts w:ascii="Verdana" w:hAnsi="Verdana"/>
          <w:sz w:val="20"/>
          <w:szCs w:val="20"/>
        </w:rPr>
        <w:t>Ο τελευταίος πλειοδότης υποχρεούται να παρουσιάσει αξιόχρεο εγγυητή, ο οποίος θα υπογράψει τα πρακτικά της δημοπρασίας και έτσι καθίσταται αλληλέγγυος και εις ολόκληρον υπεύθυνος με αυτόν για την εκπλήρωση των όρων της σύμβασης.</w:t>
      </w:r>
    </w:p>
    <w:p w14:paraId="1BAA7E07">
      <w:pPr>
        <w:jc w:val="both"/>
        <w:rPr>
          <w:rFonts w:ascii="Verdana" w:hAnsi="Verdana"/>
          <w:sz w:val="20"/>
          <w:szCs w:val="20"/>
        </w:rPr>
      </w:pPr>
      <w:r>
        <w:rPr>
          <w:rFonts w:ascii="Verdana" w:hAnsi="Verdana"/>
          <w:sz w:val="20"/>
          <w:szCs w:val="20"/>
        </w:rPr>
        <w:t>Σε περίπτωση δε θανάτου του εγγυητή , ο δικαιούχος υποχρεούται σε διάστημα ενός (1) μηνός να ορίσει νέο εγγυητή , του οποίου το αξιόχρεο θα ελέγξει η Δημοτική Επιτροπή.</w:t>
      </w:r>
    </w:p>
    <w:p w14:paraId="7BE45F3D">
      <w:pPr>
        <w:jc w:val="both"/>
        <w:rPr>
          <w:rFonts w:ascii="Verdana" w:hAnsi="Verdana"/>
          <w:sz w:val="20"/>
          <w:szCs w:val="20"/>
        </w:rPr>
      </w:pPr>
      <w:r>
        <w:rPr>
          <w:rFonts w:ascii="Verdana" w:hAnsi="Verdana"/>
          <w:sz w:val="20"/>
          <w:szCs w:val="20"/>
        </w:rPr>
        <w:t xml:space="preserve">                                                                   </w:t>
      </w:r>
    </w:p>
    <w:p w14:paraId="6E2BEA24">
      <w:pPr>
        <w:jc w:val="center"/>
        <w:rPr>
          <w:rFonts w:ascii="Verdana" w:hAnsi="Verdana"/>
          <w:sz w:val="20"/>
          <w:szCs w:val="20"/>
        </w:rPr>
      </w:pPr>
      <w:r>
        <w:rPr>
          <w:rFonts w:ascii="Verdana" w:hAnsi="Verdana"/>
          <w:b/>
          <w:bCs/>
          <w:sz w:val="20"/>
          <w:szCs w:val="20"/>
        </w:rPr>
        <w:t>Άρθρο 8</w:t>
      </w:r>
    </w:p>
    <w:p w14:paraId="49BC130F">
      <w:pPr>
        <w:jc w:val="center"/>
        <w:rPr>
          <w:rFonts w:ascii="Verdana" w:hAnsi="Verdana"/>
          <w:b/>
          <w:bCs/>
          <w:sz w:val="20"/>
          <w:szCs w:val="20"/>
        </w:rPr>
      </w:pPr>
      <w:r>
        <w:rPr>
          <w:rFonts w:ascii="Verdana" w:hAnsi="Verdana"/>
          <w:b/>
          <w:bCs/>
          <w:sz w:val="20"/>
          <w:szCs w:val="20"/>
        </w:rPr>
        <w:t>Δικαίωμα αποζημίωσης</w:t>
      </w:r>
    </w:p>
    <w:p w14:paraId="68D14AF4">
      <w:pPr>
        <w:jc w:val="both"/>
        <w:rPr>
          <w:rFonts w:ascii="Verdana" w:hAnsi="Verdana"/>
          <w:sz w:val="20"/>
          <w:szCs w:val="20"/>
        </w:rPr>
      </w:pPr>
      <w:r>
        <w:rPr>
          <w:rFonts w:ascii="Verdana" w:hAnsi="Verdana"/>
          <w:sz w:val="20"/>
          <w:szCs w:val="20"/>
        </w:rPr>
        <w:t>Ο τελευταίος πλειοδότης δεν αποκτά δικαίωμα προς αποζημίωση από τη μη έγκριση  των πρακτικών της δημοπρασίας από το αρμόδιο όργανο του δήμου ή της διοικητικής αρχής που έχει αντίστοιχη αρμοδιότητα.</w:t>
      </w:r>
    </w:p>
    <w:p w14:paraId="48D20C34">
      <w:pPr>
        <w:jc w:val="both"/>
        <w:rPr>
          <w:rFonts w:ascii="Verdana" w:hAnsi="Verdana"/>
          <w:sz w:val="20"/>
          <w:szCs w:val="20"/>
        </w:rPr>
      </w:pPr>
    </w:p>
    <w:p w14:paraId="24EDB6E4">
      <w:pPr>
        <w:jc w:val="center"/>
        <w:rPr>
          <w:rFonts w:ascii="Verdana" w:hAnsi="Verdana"/>
          <w:sz w:val="20"/>
          <w:szCs w:val="20"/>
        </w:rPr>
      </w:pPr>
      <w:r>
        <w:rPr>
          <w:rFonts w:ascii="Verdana" w:hAnsi="Verdana"/>
          <w:b/>
          <w:bCs/>
          <w:sz w:val="20"/>
          <w:szCs w:val="20"/>
        </w:rPr>
        <w:t>Άρθρο 9</w:t>
      </w:r>
    </w:p>
    <w:p w14:paraId="5D72D727">
      <w:pPr>
        <w:jc w:val="center"/>
        <w:rPr>
          <w:rFonts w:ascii="Verdana" w:hAnsi="Verdana"/>
          <w:b/>
          <w:bCs/>
          <w:sz w:val="20"/>
          <w:szCs w:val="20"/>
        </w:rPr>
      </w:pPr>
      <w:r>
        <w:rPr>
          <w:rFonts w:ascii="Verdana" w:hAnsi="Verdana"/>
          <w:b/>
          <w:bCs/>
          <w:sz w:val="20"/>
          <w:szCs w:val="20"/>
        </w:rPr>
        <w:t>Σύμβαση</w:t>
      </w:r>
    </w:p>
    <w:p w14:paraId="5F2B1F96">
      <w:pPr>
        <w:jc w:val="both"/>
        <w:rPr>
          <w:rFonts w:ascii="Verdana" w:hAnsi="Verdana"/>
          <w:sz w:val="20"/>
          <w:szCs w:val="20"/>
        </w:rPr>
      </w:pPr>
      <w:r>
        <w:rPr>
          <w:rFonts w:ascii="Verdana" w:hAnsi="Verdana"/>
          <w:sz w:val="20"/>
          <w:szCs w:val="20"/>
        </w:rPr>
        <w:t xml:space="preserve">Ο τελευταίος πλειοδότης υποχρεούται όπως </w:t>
      </w:r>
      <w:r>
        <w:rPr>
          <w:rFonts w:ascii="Verdana" w:hAnsi="Verdana"/>
          <w:b/>
          <w:bCs/>
          <w:sz w:val="20"/>
          <w:szCs w:val="20"/>
        </w:rPr>
        <w:t>εντός δ</w:t>
      </w:r>
      <w:r>
        <w:rPr>
          <w:rFonts w:ascii="Verdana" w:hAnsi="Verdana"/>
          <w:b/>
          <w:bCs/>
          <w:sz w:val="20"/>
          <w:szCs w:val="20"/>
          <w:lang w:val="el-GR"/>
        </w:rPr>
        <w:t>εκαπέντε</w:t>
      </w:r>
      <w:r>
        <w:rPr>
          <w:rFonts w:hint="default" w:ascii="Verdana" w:hAnsi="Verdana"/>
          <w:b/>
          <w:bCs/>
          <w:sz w:val="20"/>
          <w:szCs w:val="20"/>
          <w:lang w:val="el-GR"/>
        </w:rPr>
        <w:t xml:space="preserve"> (15)</w:t>
      </w:r>
      <w:r>
        <w:rPr>
          <w:rFonts w:ascii="Verdana" w:hAnsi="Verdana"/>
          <w:b/>
          <w:bCs/>
          <w:sz w:val="20"/>
          <w:szCs w:val="20"/>
        </w:rPr>
        <w:t xml:space="preserve"> ημερών </w:t>
      </w:r>
      <w:r>
        <w:rPr>
          <w:rFonts w:ascii="Verdana" w:hAnsi="Verdana"/>
          <w:sz w:val="20"/>
          <w:szCs w:val="20"/>
        </w:rPr>
        <w:t>από την κοινοποίηση , που ενεργείται με αποδεικτικά παραλαβής, της απόφασης της διοικητικής αρχής περί κατακυρώσεως ή εγκρίσεως του αποτελέσματος της δημοπρασίας, να προσέλθει μαζί με τον εγγυητή του για την σύνταξη και υπογραφή της συμβάσεως, άλλως και η κατατεθείσα εγγύηση καταπίπτει υπέρ του δήμου χωρίς δικαστική παρέμβαση.</w:t>
      </w:r>
    </w:p>
    <w:p w14:paraId="0F8B7C56">
      <w:pPr>
        <w:jc w:val="both"/>
        <w:rPr>
          <w:rFonts w:ascii="Verdana" w:hAnsi="Verdana"/>
          <w:sz w:val="20"/>
          <w:szCs w:val="20"/>
        </w:rPr>
      </w:pPr>
      <w:r>
        <w:rPr>
          <w:rFonts w:ascii="Verdana" w:hAnsi="Verdana"/>
          <w:sz w:val="20"/>
          <w:szCs w:val="20"/>
        </w:rPr>
        <w:t>Ενεργείται δε αναπλειστηριασμός εις βάρος του και του εγγυητή του, οι οποίοι ευθύνονται για το μεγαλύτερο τυχόν οικονομικό αποτέλεσμα της δημοπρασίας από αυτό της προηγούμενης.</w:t>
      </w:r>
    </w:p>
    <w:p w14:paraId="3F53F2C2">
      <w:pPr>
        <w:jc w:val="both"/>
        <w:rPr>
          <w:rFonts w:ascii="Verdana" w:hAnsi="Verdana"/>
          <w:sz w:val="20"/>
          <w:szCs w:val="20"/>
        </w:rPr>
      </w:pPr>
      <w:r>
        <w:rPr>
          <w:rFonts w:ascii="Verdana" w:hAnsi="Verdana"/>
          <w:sz w:val="20"/>
          <w:szCs w:val="20"/>
        </w:rPr>
        <w:t>Μετά το πέρας της παραπάνω προθεσμίας των δέκα ημερών η σύμβαση θεωρείται ότι καταρτίστηκε οριστικά.</w:t>
      </w:r>
    </w:p>
    <w:p w14:paraId="3D9BC33E">
      <w:pPr>
        <w:jc w:val="both"/>
        <w:rPr>
          <w:rFonts w:ascii="Verdana" w:hAnsi="Verdana"/>
          <w:b/>
          <w:bCs/>
          <w:sz w:val="20"/>
          <w:szCs w:val="20"/>
        </w:rPr>
      </w:pPr>
      <w:r>
        <w:rPr>
          <w:rFonts w:ascii="Verdana" w:hAnsi="Verdana"/>
          <w:b/>
          <w:bCs/>
          <w:sz w:val="20"/>
          <w:szCs w:val="20"/>
        </w:rPr>
        <w:t xml:space="preserve">                                                    </w:t>
      </w:r>
    </w:p>
    <w:p w14:paraId="7E3D0233">
      <w:pPr>
        <w:jc w:val="center"/>
        <w:rPr>
          <w:rFonts w:ascii="Verdana" w:hAnsi="Verdana"/>
          <w:sz w:val="20"/>
          <w:szCs w:val="20"/>
        </w:rPr>
      </w:pPr>
      <w:r>
        <w:rPr>
          <w:rFonts w:ascii="Verdana" w:hAnsi="Verdana"/>
          <w:b/>
          <w:bCs/>
          <w:sz w:val="20"/>
          <w:szCs w:val="20"/>
        </w:rPr>
        <w:t>Άρθρο  10</w:t>
      </w:r>
    </w:p>
    <w:p w14:paraId="213EDEF3">
      <w:pPr>
        <w:jc w:val="center"/>
        <w:rPr>
          <w:rFonts w:ascii="Verdana" w:hAnsi="Verdana"/>
          <w:sz w:val="20"/>
          <w:szCs w:val="20"/>
        </w:rPr>
      </w:pPr>
      <w:r>
        <w:rPr>
          <w:rFonts w:ascii="Verdana" w:hAnsi="Verdana"/>
          <w:b/>
          <w:bCs/>
          <w:sz w:val="20"/>
          <w:szCs w:val="20"/>
        </w:rPr>
        <w:t>Διάρκεια εκμίσθωσης</w:t>
      </w:r>
    </w:p>
    <w:p w14:paraId="4C348457">
      <w:pPr>
        <w:jc w:val="both"/>
        <w:rPr>
          <w:rFonts w:ascii="Verdana" w:hAnsi="Verdana"/>
          <w:sz w:val="20"/>
          <w:szCs w:val="20"/>
        </w:rPr>
      </w:pPr>
      <w:r>
        <w:rPr>
          <w:rFonts w:ascii="Verdana" w:hAnsi="Verdana"/>
          <w:sz w:val="20"/>
          <w:szCs w:val="20"/>
        </w:rPr>
        <w:t xml:space="preserve">Η εκμίσθωση αρχίζει  από την επόμενη υπογραφή της σύμβασης παραχώρησης, μετά την κατακύρωση στον τελευταίο πλειοδότη  και θα διαρκέσει </w:t>
      </w:r>
      <w:r>
        <w:rPr>
          <w:rFonts w:ascii="Verdana" w:hAnsi="Verdana"/>
          <w:b/>
          <w:sz w:val="20"/>
          <w:szCs w:val="20"/>
        </w:rPr>
        <w:t>δέκα (10) έτη.</w:t>
      </w:r>
      <w:r>
        <w:rPr>
          <w:rFonts w:ascii="Verdana" w:hAnsi="Verdana"/>
          <w:sz w:val="20"/>
          <w:szCs w:val="20"/>
        </w:rPr>
        <w:t xml:space="preserve"> (Σύμφωνα με την </w:t>
      </w:r>
    </w:p>
    <w:p w14:paraId="672BF463">
      <w:pPr>
        <w:jc w:val="both"/>
        <w:rPr>
          <w:rFonts w:ascii="Verdana" w:hAnsi="Verdana"/>
          <w:sz w:val="20"/>
          <w:szCs w:val="20"/>
        </w:rPr>
      </w:pPr>
      <w:r>
        <w:rPr>
          <w:rFonts w:hint="default" w:ascii="Verdana" w:hAnsi="Verdana"/>
          <w:sz w:val="20"/>
          <w:szCs w:val="20"/>
          <w:lang w:val="el-GR"/>
        </w:rPr>
        <w:t>146</w:t>
      </w:r>
      <w:r>
        <w:rPr>
          <w:rFonts w:ascii="Verdana" w:hAnsi="Verdana"/>
          <w:sz w:val="20"/>
          <w:szCs w:val="20"/>
        </w:rPr>
        <w:t>/202</w:t>
      </w:r>
      <w:r>
        <w:rPr>
          <w:rFonts w:hint="default" w:ascii="Verdana" w:hAnsi="Verdana"/>
          <w:sz w:val="20"/>
          <w:szCs w:val="20"/>
          <w:lang w:val="el-GR"/>
        </w:rPr>
        <w:t>6</w:t>
      </w:r>
      <w:r>
        <w:rPr>
          <w:rFonts w:ascii="Verdana" w:hAnsi="Verdana"/>
          <w:sz w:val="20"/>
          <w:szCs w:val="20"/>
        </w:rPr>
        <w:t xml:space="preserve"> ΑΔΣ Δήμου Λεβαδέων.)</w:t>
      </w:r>
    </w:p>
    <w:p w14:paraId="59D3E08A">
      <w:pPr>
        <w:ind w:firstLine="600" w:firstLineChars="300"/>
        <w:jc w:val="both"/>
        <w:rPr>
          <w:rFonts w:ascii="Verdana" w:hAnsi="Verdana"/>
          <w:sz w:val="20"/>
          <w:szCs w:val="20"/>
        </w:rPr>
      </w:pPr>
    </w:p>
    <w:p w14:paraId="04BF80CB">
      <w:pPr>
        <w:jc w:val="center"/>
        <w:rPr>
          <w:rFonts w:ascii="Verdana" w:hAnsi="Verdana"/>
          <w:sz w:val="20"/>
          <w:szCs w:val="20"/>
        </w:rPr>
      </w:pPr>
      <w:r>
        <w:rPr>
          <w:rFonts w:ascii="Verdana" w:hAnsi="Verdana"/>
          <w:b/>
          <w:bCs/>
          <w:sz w:val="20"/>
          <w:szCs w:val="20"/>
        </w:rPr>
        <w:t>Άρθρο 11</w:t>
      </w:r>
    </w:p>
    <w:p w14:paraId="38D1BA0F">
      <w:pPr>
        <w:jc w:val="center"/>
        <w:rPr>
          <w:rFonts w:ascii="Verdana" w:hAnsi="Verdana"/>
          <w:sz w:val="20"/>
          <w:szCs w:val="20"/>
        </w:rPr>
      </w:pPr>
      <w:r>
        <w:rPr>
          <w:rFonts w:ascii="Verdana" w:hAnsi="Verdana"/>
          <w:b/>
          <w:bCs/>
          <w:sz w:val="20"/>
          <w:szCs w:val="20"/>
        </w:rPr>
        <w:t>Προθεσμία καταβολής και αναπροσαρμογής του Μισθώματος</w:t>
      </w:r>
    </w:p>
    <w:p w14:paraId="42D97143">
      <w:pPr>
        <w:jc w:val="both"/>
        <w:rPr>
          <w:rFonts w:ascii="Verdana" w:hAnsi="Verdana"/>
          <w:sz w:val="20"/>
          <w:szCs w:val="20"/>
        </w:rPr>
      </w:pPr>
      <w:r>
        <w:rPr>
          <w:rFonts w:ascii="Verdana" w:hAnsi="Verdana"/>
          <w:sz w:val="20"/>
          <w:szCs w:val="20"/>
        </w:rPr>
        <w:t>Το μίσθωμα θα είναι μηνιαίο και καταβάλλεται τις πρώτες πέντε ημέρες του επόμενου μήνα, στο Ταμείο του Δήμου Λεβαδέων, ενώ με την υπογραφή της σύμβασης θα καταβληθεί το μίσθωμα του πρώτου μήνα.</w:t>
      </w:r>
    </w:p>
    <w:p w14:paraId="043D5D50">
      <w:pPr>
        <w:jc w:val="both"/>
        <w:rPr>
          <w:rFonts w:ascii="Verdana" w:hAnsi="Verdana"/>
          <w:sz w:val="20"/>
          <w:szCs w:val="20"/>
          <w:highlight w:val="yellow"/>
        </w:rPr>
      </w:pPr>
      <w:r>
        <w:rPr>
          <w:rFonts w:ascii="Verdana" w:hAnsi="Verdana"/>
          <w:sz w:val="20"/>
          <w:szCs w:val="20"/>
          <w:highlight w:val="yellow"/>
        </w:rPr>
        <w:t>Το μίσθωμα θα παραμείνει σταθερό το πρώτο χρόνο της μίσθωσης .</w:t>
      </w:r>
    </w:p>
    <w:p w14:paraId="437FFB96">
      <w:pPr>
        <w:jc w:val="both"/>
        <w:rPr>
          <w:rFonts w:ascii="Verdana" w:hAnsi="Verdana"/>
          <w:sz w:val="20"/>
          <w:szCs w:val="20"/>
          <w:highlight w:val="yellow"/>
        </w:rPr>
      </w:pPr>
      <w:r>
        <w:rPr>
          <w:rFonts w:ascii="Verdana" w:hAnsi="Verdana"/>
          <w:sz w:val="20"/>
          <w:szCs w:val="20"/>
          <w:highlight w:val="yellow"/>
        </w:rPr>
        <w:t>Μετά από την ημερομηνία αυτή, θα αναπροσαρμόζεται σε ποσοστό ετησίως, επί του εκάστοτε καταβαλλόμενου, μέχρι τη λήξη της μίσθωσης κατά το ποσοστό του συνόλου της μεταβολής του δείκτη τιμών καταναλωτή του μήνα αναπροσαρμογής, σε σχέση με τον αντίστοιχο μήνα του προηγούμενου έτους (απλή δωδεκάμηνη μεταβολή), όπως αυτή υπολογίζεται από την Εθνική Στατιστική Υπηρεσία της Ελλάδος. (Ε.Σ.Υ.Ε).</w:t>
      </w:r>
    </w:p>
    <w:p w14:paraId="60AC2277">
      <w:pPr>
        <w:jc w:val="both"/>
        <w:rPr>
          <w:rFonts w:ascii="Verdana" w:hAnsi="Verdana"/>
          <w:sz w:val="20"/>
          <w:szCs w:val="20"/>
        </w:rPr>
      </w:pPr>
      <w:r>
        <w:rPr>
          <w:rFonts w:ascii="Verdana" w:hAnsi="Verdana"/>
          <w:sz w:val="20"/>
          <w:szCs w:val="20"/>
          <w:highlight w:val="yellow"/>
        </w:rPr>
        <w:t>Σε περίπτωση αρνητικής μεταβολής του δείκτη τιμών, το μίσθωμα θα παραμένει σταθερό.</w:t>
      </w:r>
    </w:p>
    <w:p w14:paraId="75373179">
      <w:pPr>
        <w:jc w:val="both"/>
        <w:rPr>
          <w:rFonts w:ascii="Verdana" w:hAnsi="Verdana"/>
          <w:sz w:val="20"/>
          <w:szCs w:val="20"/>
        </w:rPr>
      </w:pPr>
      <w:r>
        <w:rPr>
          <w:rFonts w:ascii="Verdana" w:hAnsi="Verdana"/>
          <w:sz w:val="20"/>
          <w:szCs w:val="20"/>
        </w:rPr>
        <w:t>Σημειώνεται ότι στο παρόν μίσθωμα δεν περιλαμβάνονται τα τέλη κατάληψης κοινόχρηστων χώρων, για τα οποία ισχύουν οι εκάστοτε αποφάσεις του Δημοτικού Συμβουλίου  Λεβαδέων, περί  καθορισμού, δημοτικών τελών χρήσης κοινόχρηστων χώρων (άρθρο 3</w:t>
      </w:r>
      <w:r>
        <w:rPr>
          <w:rFonts w:hint="default" w:ascii="Verdana" w:hAnsi="Verdana"/>
          <w:sz w:val="20"/>
          <w:szCs w:val="20"/>
          <w:lang w:val="el-GR"/>
        </w:rPr>
        <w:t>98</w:t>
      </w:r>
      <w:r>
        <w:rPr>
          <w:rFonts w:ascii="Verdana" w:hAnsi="Verdana"/>
          <w:sz w:val="20"/>
          <w:szCs w:val="20"/>
        </w:rPr>
        <w:t xml:space="preserve"> Ν. </w:t>
      </w:r>
      <w:r>
        <w:rPr>
          <w:rFonts w:hint="default" w:ascii="Verdana" w:hAnsi="Verdana"/>
          <w:sz w:val="20"/>
          <w:szCs w:val="20"/>
          <w:lang w:val="el-GR"/>
        </w:rPr>
        <w:t>5314</w:t>
      </w:r>
      <w:r>
        <w:rPr>
          <w:rFonts w:ascii="Verdana" w:hAnsi="Verdana"/>
          <w:sz w:val="20"/>
          <w:szCs w:val="20"/>
        </w:rPr>
        <w:t>/</w:t>
      </w:r>
      <w:r>
        <w:rPr>
          <w:rFonts w:hint="default" w:ascii="Verdana" w:hAnsi="Verdana"/>
          <w:sz w:val="20"/>
          <w:szCs w:val="20"/>
          <w:lang w:val="el-GR"/>
        </w:rPr>
        <w:t>2026</w:t>
      </w:r>
      <w:r>
        <w:rPr>
          <w:rFonts w:ascii="Verdana" w:hAnsi="Verdana"/>
          <w:sz w:val="20"/>
          <w:szCs w:val="20"/>
        </w:rPr>
        <w:t>).</w:t>
      </w:r>
    </w:p>
    <w:p w14:paraId="3B7F7474">
      <w:pPr>
        <w:jc w:val="both"/>
        <w:rPr>
          <w:rFonts w:ascii="Verdana" w:hAnsi="Verdana"/>
          <w:sz w:val="20"/>
          <w:szCs w:val="20"/>
        </w:rPr>
      </w:pPr>
      <w:r>
        <w:rPr>
          <w:rFonts w:ascii="Verdana" w:hAnsi="Verdana"/>
          <w:sz w:val="20"/>
          <w:szCs w:val="20"/>
        </w:rPr>
        <w:t xml:space="preserve">                                                     </w:t>
      </w:r>
    </w:p>
    <w:p w14:paraId="30B13B22">
      <w:pPr>
        <w:jc w:val="center"/>
        <w:rPr>
          <w:rFonts w:ascii="Verdana" w:hAnsi="Verdana"/>
          <w:sz w:val="20"/>
          <w:szCs w:val="20"/>
        </w:rPr>
      </w:pPr>
      <w:r>
        <w:rPr>
          <w:rFonts w:ascii="Verdana" w:hAnsi="Verdana"/>
          <w:b/>
          <w:bCs/>
          <w:sz w:val="20"/>
          <w:szCs w:val="20"/>
        </w:rPr>
        <w:t>Άρθρο 12</w:t>
      </w:r>
    </w:p>
    <w:p w14:paraId="3346FA58">
      <w:pPr>
        <w:jc w:val="center"/>
        <w:rPr>
          <w:rFonts w:ascii="Verdana" w:hAnsi="Verdana"/>
          <w:sz w:val="20"/>
          <w:szCs w:val="20"/>
        </w:rPr>
      </w:pPr>
      <w:r>
        <w:rPr>
          <w:rFonts w:ascii="Verdana" w:hAnsi="Verdana"/>
          <w:b/>
          <w:bCs/>
          <w:sz w:val="20"/>
          <w:szCs w:val="20"/>
        </w:rPr>
        <w:t>Εγγύηση συμμετοχής</w:t>
      </w:r>
    </w:p>
    <w:p w14:paraId="5C7B9ADE">
      <w:pPr>
        <w:jc w:val="both"/>
        <w:rPr>
          <w:rFonts w:ascii="Verdana" w:hAnsi="Verdana"/>
          <w:sz w:val="20"/>
          <w:szCs w:val="20"/>
        </w:rPr>
      </w:pPr>
      <w:r>
        <w:rPr>
          <w:rFonts w:ascii="Verdana" w:hAnsi="Verdana"/>
          <w:sz w:val="20"/>
          <w:szCs w:val="20"/>
        </w:rPr>
        <w:t>Ουδείς  είναι δεκτός στην δημοπρασία, αν δεν καταθέσει, για την συμμετοχή του στη δημοπρασία, ως εγγύηση στην επιτροπή διενέργειας της δημοπρασίας, γραμμάτιο συστάσεως παρακαταθήκης του Ταμείου Παρακαταθηκών και Δανείων ή εγγυητική επιστολή αναγνωρισμένης Τράπεζας ή βεβαίωση του Ταμείου Παρακαταθηκών και Δανείων περί παρακαταθέσεως σε αυτό από αυτόν που επιθυμεί να λάβει μέρος στη δημοπρασία ή άλλου ο οποίος ενεργεί για λογαριασμό του διαγωνιζόμενου, ομολογιών Δημοσίου, Τραπέζης  ή Οργανισμού κοινής ωφελείας, που αναγνωρίζεται για εγγυοδοσίες, ποσό ίσο προς το ένα δέκατο (1/10) του οριζόμενου ελαχίστου ορίου πρώτης προσφοράς της διακήρυξης, υπολογιζόμενου προκειμένου μεν περί χρόνου μικρότερου του έτους για ολόκληρο το χρόνο της μισθώσεως , προκειμένου δε περί χρόνου, μεγαλύτερου του έτους , ενός έτους τουλάχιστον.</w:t>
      </w:r>
    </w:p>
    <w:p w14:paraId="7E56349A">
      <w:pPr>
        <w:jc w:val="both"/>
        <w:rPr>
          <w:rFonts w:ascii="Verdana" w:hAnsi="Verdana"/>
          <w:sz w:val="20"/>
          <w:szCs w:val="20"/>
          <w:highlight w:val="yellow"/>
        </w:rPr>
      </w:pPr>
      <w:r>
        <w:rPr>
          <w:rFonts w:ascii="Verdana" w:hAnsi="Verdana"/>
          <w:sz w:val="20"/>
          <w:szCs w:val="20"/>
          <w:highlight w:val="yellow"/>
        </w:rPr>
        <w:t xml:space="preserve">Ως  ποσό  εγγύησης συμμετοχής στο διαγωνισμό ορίζεται το ποσό των </w:t>
      </w:r>
      <w:r>
        <w:rPr>
          <w:rFonts w:ascii="Verdana" w:hAnsi="Verdana"/>
          <w:b/>
          <w:bCs/>
          <w:sz w:val="20"/>
          <w:szCs w:val="20"/>
          <w:highlight w:val="yellow"/>
        </w:rPr>
        <w:t xml:space="preserve"> </w:t>
      </w:r>
      <w:r>
        <w:rPr>
          <w:rFonts w:ascii="Verdana" w:hAnsi="Verdana"/>
          <w:b/>
          <w:bCs/>
          <w:sz w:val="20"/>
          <w:szCs w:val="20"/>
          <w:highlight w:val="yellow"/>
          <w:lang w:val="el-GR"/>
        </w:rPr>
        <w:t>τριακοσίων</w:t>
      </w:r>
      <w:r>
        <w:rPr>
          <w:rFonts w:hint="default" w:ascii="Verdana" w:hAnsi="Verdana"/>
          <w:b/>
          <w:bCs/>
          <w:sz w:val="20"/>
          <w:szCs w:val="20"/>
          <w:highlight w:val="yellow"/>
          <w:lang w:val="el-GR"/>
        </w:rPr>
        <w:t xml:space="preserve"> εξήντα</w:t>
      </w:r>
      <w:r>
        <w:rPr>
          <w:rFonts w:ascii="Verdana" w:hAnsi="Verdana"/>
          <w:sz w:val="20"/>
          <w:szCs w:val="20"/>
          <w:highlight w:val="yellow"/>
        </w:rPr>
        <w:t xml:space="preserve">          </w:t>
      </w:r>
      <w:r>
        <w:rPr>
          <w:rFonts w:ascii="Verdana" w:hAnsi="Verdana"/>
          <w:b/>
          <w:bCs/>
          <w:sz w:val="20"/>
          <w:szCs w:val="20"/>
          <w:highlight w:val="yellow"/>
        </w:rPr>
        <w:t>ευρώ (</w:t>
      </w:r>
      <w:r>
        <w:rPr>
          <w:rFonts w:hint="default" w:ascii="Verdana" w:hAnsi="Verdana"/>
          <w:b/>
          <w:bCs/>
          <w:sz w:val="20"/>
          <w:szCs w:val="20"/>
          <w:highlight w:val="yellow"/>
          <w:lang w:val="el-GR"/>
        </w:rPr>
        <w:t>360,00</w:t>
      </w:r>
      <w:r>
        <w:rPr>
          <w:rFonts w:ascii="Verdana" w:hAnsi="Verdana"/>
          <w:b/>
          <w:bCs/>
          <w:sz w:val="20"/>
          <w:szCs w:val="20"/>
          <w:highlight w:val="yellow"/>
        </w:rPr>
        <w:t xml:space="preserve"> €).</w:t>
      </w:r>
    </w:p>
    <w:p w14:paraId="55FA66CC">
      <w:pPr>
        <w:jc w:val="both"/>
        <w:rPr>
          <w:rFonts w:ascii="Verdana" w:hAnsi="Verdana"/>
          <w:sz w:val="20"/>
          <w:szCs w:val="20"/>
        </w:rPr>
      </w:pPr>
      <w:r>
        <w:rPr>
          <w:rFonts w:ascii="Verdana" w:hAnsi="Verdana"/>
          <w:sz w:val="20"/>
          <w:szCs w:val="20"/>
        </w:rPr>
        <w:t xml:space="preserve">Η εγγυητική αυτή επιστολή αντικαθίσταται, μετά την υπογραφή της σύμβασης με άλλη εγγύηση ποσού ίσου προς το ποσοστό </w:t>
      </w:r>
      <w:r>
        <w:rPr>
          <w:rFonts w:ascii="Verdana" w:hAnsi="Verdana"/>
          <w:b/>
          <w:bCs/>
          <w:sz w:val="20"/>
          <w:szCs w:val="20"/>
        </w:rPr>
        <w:t xml:space="preserve">10%  </w:t>
      </w:r>
      <w:r>
        <w:rPr>
          <w:rFonts w:ascii="Verdana" w:hAnsi="Verdana"/>
          <w:sz w:val="20"/>
          <w:szCs w:val="20"/>
        </w:rPr>
        <w:t>επί του επιτευχθέντος  μισθώματος, για την εξασφάλιση της έγκαιρης και εντός των από τη διακήρυξη οριζομένων προθεσμιών καταβολής του μισθώματος και θα παραμείνει στο Δήμο, έως τη λήξη της σύμβασης.</w:t>
      </w:r>
    </w:p>
    <w:p w14:paraId="034D7BD6">
      <w:pPr>
        <w:jc w:val="both"/>
        <w:rPr>
          <w:rFonts w:ascii="Verdana" w:hAnsi="Verdana"/>
          <w:sz w:val="20"/>
          <w:szCs w:val="20"/>
        </w:rPr>
      </w:pPr>
      <w:r>
        <w:rPr>
          <w:rFonts w:ascii="Verdana" w:hAnsi="Verdana"/>
          <w:sz w:val="20"/>
          <w:szCs w:val="20"/>
        </w:rPr>
        <w:t xml:space="preserve">  Η συγκεκριμένη εγγυητική επιστολή, θα καταπίπτει, υπέρ του Δήμου, σε περίπτωση : </w:t>
      </w:r>
    </w:p>
    <w:p w14:paraId="08C70252">
      <w:pPr>
        <w:jc w:val="both"/>
        <w:rPr>
          <w:rFonts w:ascii="Verdana" w:hAnsi="Verdana"/>
          <w:sz w:val="20"/>
          <w:szCs w:val="20"/>
        </w:rPr>
      </w:pPr>
      <w:r>
        <w:rPr>
          <w:rFonts w:ascii="Verdana" w:hAnsi="Verdana"/>
          <w:sz w:val="20"/>
          <w:szCs w:val="20"/>
        </w:rPr>
        <w:t xml:space="preserve">α) μη εμπρόθεσμη καταβολής μισθωμάτων, </w:t>
      </w:r>
    </w:p>
    <w:p w14:paraId="56FB8973">
      <w:pPr>
        <w:jc w:val="both"/>
        <w:rPr>
          <w:rFonts w:ascii="Verdana" w:hAnsi="Verdana"/>
          <w:sz w:val="20"/>
          <w:szCs w:val="20"/>
        </w:rPr>
      </w:pPr>
      <w:r>
        <w:rPr>
          <w:rFonts w:ascii="Verdana" w:hAnsi="Verdana"/>
          <w:sz w:val="20"/>
          <w:szCs w:val="20"/>
        </w:rPr>
        <w:t>β) πρόωρης λύσης της σύμβασης, από τον μισθωτή,</w:t>
      </w:r>
    </w:p>
    <w:p w14:paraId="59FCC890">
      <w:pPr>
        <w:jc w:val="both"/>
        <w:rPr>
          <w:rFonts w:ascii="Verdana" w:hAnsi="Verdana"/>
          <w:sz w:val="20"/>
          <w:szCs w:val="20"/>
        </w:rPr>
      </w:pPr>
      <w:r>
        <w:rPr>
          <w:rFonts w:ascii="Verdana" w:hAnsi="Verdana"/>
          <w:sz w:val="20"/>
          <w:szCs w:val="20"/>
        </w:rPr>
        <w:t>γ) οποιασδήποτε παράβασης των όρων της σύμβασης, από τον μισθωτή, οι οποίοι όροι θεωρούνται, όλοι ουσιώδεις.</w:t>
      </w:r>
    </w:p>
    <w:p w14:paraId="6D5A3195">
      <w:pPr>
        <w:jc w:val="both"/>
        <w:rPr>
          <w:rFonts w:ascii="Verdana" w:hAnsi="Verdana"/>
          <w:sz w:val="20"/>
          <w:szCs w:val="20"/>
        </w:rPr>
      </w:pPr>
    </w:p>
    <w:p w14:paraId="2C28E125">
      <w:pPr>
        <w:jc w:val="center"/>
        <w:rPr>
          <w:rFonts w:ascii="Verdana" w:hAnsi="Verdana"/>
          <w:b/>
          <w:bCs/>
          <w:sz w:val="20"/>
          <w:szCs w:val="20"/>
        </w:rPr>
      </w:pPr>
      <w:r>
        <w:rPr>
          <w:rFonts w:ascii="Verdana" w:hAnsi="Verdana"/>
          <w:b/>
          <w:bCs/>
          <w:sz w:val="20"/>
          <w:szCs w:val="20"/>
        </w:rPr>
        <w:t>Άρθρο  13</w:t>
      </w:r>
    </w:p>
    <w:p w14:paraId="446F6B35">
      <w:pPr>
        <w:jc w:val="center"/>
        <w:rPr>
          <w:rFonts w:ascii="Verdana" w:hAnsi="Verdana"/>
          <w:b/>
          <w:bCs/>
          <w:sz w:val="20"/>
          <w:szCs w:val="20"/>
        </w:rPr>
      </w:pPr>
      <w:r>
        <w:rPr>
          <w:rFonts w:ascii="Verdana" w:hAnsi="Verdana"/>
          <w:b/>
          <w:bCs/>
          <w:sz w:val="20"/>
          <w:szCs w:val="20"/>
        </w:rPr>
        <w:t>Εγγύηση καλής εκτέλεσης των όρων που αφορούν  στη χωροθέτηση της κατασκευής του περιπτέρου.</w:t>
      </w:r>
    </w:p>
    <w:p w14:paraId="14F4ED10">
      <w:pPr>
        <w:jc w:val="both"/>
        <w:rPr>
          <w:rFonts w:ascii="Verdana" w:hAnsi="Verdana"/>
          <w:sz w:val="20"/>
          <w:szCs w:val="20"/>
        </w:rPr>
      </w:pPr>
      <w:r>
        <w:rPr>
          <w:rFonts w:ascii="Verdana" w:hAnsi="Verdana"/>
          <w:sz w:val="20"/>
          <w:szCs w:val="20"/>
        </w:rPr>
        <w:t xml:space="preserve">Για την σύναψη της σύμβασης παραχώρησης απαιτείται η κατάθεση εγγύησης   υπέρ του οικείου δήμου για την εξασφάλιση της καλής εκτέλεσης των όρων της σύμβασης που αφορούν στη χωροθέτηση της κατασκευής του περιπτέρου. Ο Δήμος υποχρεούται   να επιστρέψει την εγγύηση αυτή άτοκα ευθύς μόλις διαπιστωθεί η τήρηση των όρων καλής εκτέλεσης και σε κάθε περίπτωση  εντός αποκλειστικής προθεσμίας ενός (1) μηνός από την γνωστοποίηση  σε αυτόν της ολοκλήρωσης κατασκευής του περιπτέρου, σύμφωνα με τις προδιαγραφές που προβλέπει ο νέος κανονισμός περιπτέρων του Δήμου  Λεβαδέων  (264/2015 ΑΔΣ).   </w:t>
      </w:r>
    </w:p>
    <w:p w14:paraId="3BCCB3AA">
      <w:pPr>
        <w:jc w:val="both"/>
        <w:rPr>
          <w:rFonts w:ascii="Verdana" w:hAnsi="Verdana"/>
          <w:sz w:val="20"/>
          <w:szCs w:val="20"/>
        </w:rPr>
      </w:pPr>
      <w:r>
        <w:rPr>
          <w:rFonts w:ascii="Verdana" w:hAnsi="Verdana"/>
          <w:sz w:val="20"/>
          <w:szCs w:val="20"/>
        </w:rPr>
        <w:t>Παρερχόμενης άπρακτης της προθεσμίας αυτής , η εγγύηση επιστρέφει από το Δήμο.</w:t>
      </w:r>
    </w:p>
    <w:p w14:paraId="06F09713">
      <w:pPr>
        <w:jc w:val="both"/>
        <w:rPr>
          <w:rFonts w:ascii="Verdana" w:hAnsi="Verdana"/>
          <w:b/>
          <w:bCs/>
          <w:sz w:val="20"/>
          <w:szCs w:val="20"/>
        </w:rPr>
      </w:pPr>
      <w:r>
        <w:rPr>
          <w:rFonts w:ascii="Verdana" w:hAnsi="Verdana"/>
          <w:sz w:val="20"/>
          <w:szCs w:val="20"/>
        </w:rPr>
        <w:t xml:space="preserve">Ο καθορισμός του ύψους της ανωτέρω εγγύησης, ο τρόπος καταβολής αυτής και κάθε άλλη αναγκαία λεπτομέρεια  καθορίζεται  από το όργανο που έχει την αρμοδιότητα διεξαγωγής της δημοπρασίας και αναφέρεται διακριτά στη σχετική διακήρυξη. Το ύψος της εγγύησης ορίζεται σε ποσοστό 70%  του κόστους κατεδάφισης της κατασκευής  του περιπτέρου και επαναφοράς των πραγμάτων στην πρότερη κατάσταση της κατασκευής του, (περ. 5 της υποπαρ. ΣΤ.2 του άρθρου 1 του Ν. 4093/20212, όπως αντικαταστήθηκε από το άρθρο 76 του Ν. 4257/2014 ) και αντιστοιχεί στο  ποσό  </w:t>
      </w:r>
      <w:r>
        <w:rPr>
          <w:rFonts w:ascii="Verdana" w:hAnsi="Verdana"/>
          <w:b/>
          <w:bCs/>
          <w:sz w:val="20"/>
          <w:szCs w:val="20"/>
        </w:rPr>
        <w:t>(420,00</w:t>
      </w:r>
      <w:r>
        <w:rPr>
          <w:rFonts w:hint="default" w:ascii="Verdana" w:hAnsi="Verdana"/>
          <w:b/>
          <w:bCs/>
          <w:sz w:val="20"/>
          <w:szCs w:val="20"/>
          <w:lang w:val="el-GR"/>
        </w:rPr>
        <w:t xml:space="preserve"> </w:t>
      </w:r>
      <w:r>
        <w:rPr>
          <w:rFonts w:ascii="Verdana" w:hAnsi="Verdana"/>
          <w:b/>
          <w:bCs/>
          <w:sz w:val="20"/>
          <w:szCs w:val="20"/>
        </w:rPr>
        <w:t>€)</w:t>
      </w:r>
      <w:r>
        <w:rPr>
          <w:rFonts w:ascii="Verdana" w:hAnsi="Verdana"/>
          <w:sz w:val="20"/>
          <w:szCs w:val="20"/>
        </w:rPr>
        <w:t xml:space="preserve"> για την διατήρηση</w:t>
      </w:r>
      <w:r>
        <w:rPr>
          <w:rStyle w:val="7"/>
          <w:rFonts w:ascii="Verdana" w:hAnsi="Verdana" w:cs="Verdana"/>
          <w:b w:val="0"/>
          <w:color w:val="000000"/>
          <w:sz w:val="20"/>
          <w:szCs w:val="20"/>
        </w:rPr>
        <w:t xml:space="preserve"> της θέσης του κενωθέντος περιπτέρου</w:t>
      </w:r>
      <w:r>
        <w:rPr>
          <w:rFonts w:ascii="Verdana" w:hAnsi="Verdana" w:cs="Verdana"/>
          <w:sz w:val="20"/>
          <w:szCs w:val="20"/>
        </w:rPr>
        <w:t xml:space="preserve"> </w:t>
      </w:r>
      <w:r>
        <w:rPr>
          <w:rStyle w:val="7"/>
          <w:rFonts w:ascii="Verdana" w:hAnsi="Verdana" w:cs="Verdana"/>
          <w:b w:val="0"/>
          <w:color w:val="000000"/>
          <w:sz w:val="20"/>
          <w:szCs w:val="20"/>
        </w:rPr>
        <w:t>που βρίσκεται επί τ</w:t>
      </w:r>
      <w:r>
        <w:rPr>
          <w:rStyle w:val="7"/>
          <w:rFonts w:ascii="Verdana" w:hAnsi="Verdana" w:cs="Verdana"/>
          <w:b w:val="0"/>
          <w:color w:val="000000"/>
          <w:sz w:val="20"/>
          <w:szCs w:val="20"/>
          <w:lang w:val="el-GR"/>
        </w:rPr>
        <w:t>ης</w:t>
      </w:r>
      <w:r>
        <w:rPr>
          <w:rStyle w:val="7"/>
          <w:rFonts w:ascii="Verdana" w:hAnsi="Verdana" w:cs="Verdana"/>
          <w:b w:val="0"/>
          <w:color w:val="000000"/>
          <w:sz w:val="20"/>
          <w:szCs w:val="20"/>
        </w:rPr>
        <w:t xml:space="preserve"> </w:t>
      </w:r>
      <w:r>
        <w:rPr>
          <w:rStyle w:val="7"/>
          <w:rFonts w:ascii="Verdana" w:hAnsi="Verdana" w:cs="Verdana"/>
          <w:b w:val="0"/>
          <w:color w:val="000000"/>
          <w:sz w:val="20"/>
          <w:szCs w:val="20"/>
          <w:lang w:val="el-GR"/>
        </w:rPr>
        <w:t>οδού</w:t>
      </w:r>
      <w:r>
        <w:rPr>
          <w:rStyle w:val="7"/>
          <w:rFonts w:hint="default" w:ascii="Verdana" w:hAnsi="Verdana" w:cs="Verdana"/>
          <w:b w:val="0"/>
          <w:color w:val="000000"/>
          <w:sz w:val="20"/>
          <w:szCs w:val="20"/>
          <w:lang w:val="el-GR"/>
        </w:rPr>
        <w:t xml:space="preserve"> Δημ. Ι. Περγαντά 26</w:t>
      </w:r>
      <w:r>
        <w:rPr>
          <w:rStyle w:val="7"/>
          <w:rFonts w:ascii="Verdana" w:hAnsi="Verdana" w:cs="Verdana"/>
          <w:b w:val="0"/>
          <w:color w:val="000000"/>
          <w:sz w:val="20"/>
          <w:szCs w:val="20"/>
        </w:rPr>
        <w:t>,</w:t>
      </w:r>
      <w:r>
        <w:rPr>
          <w:rStyle w:val="7"/>
          <w:rFonts w:hint="default" w:ascii="Verdana" w:hAnsi="Verdana" w:cs="Verdana"/>
          <w:b w:val="0"/>
          <w:color w:val="000000"/>
          <w:sz w:val="20"/>
          <w:szCs w:val="20"/>
          <w:lang w:val="el-GR"/>
        </w:rPr>
        <w:t xml:space="preserve"> </w:t>
      </w:r>
      <w:r>
        <w:rPr>
          <w:rStyle w:val="7"/>
          <w:rFonts w:ascii="Verdana" w:hAnsi="Verdana" w:cs="Verdana"/>
          <w:b w:val="0"/>
          <w:color w:val="000000"/>
          <w:sz w:val="20"/>
          <w:szCs w:val="20"/>
        </w:rPr>
        <w:t xml:space="preserve">Κοινότητα Λιβαδειάς, επιφανείας περιπτέρου </w:t>
      </w:r>
      <w:r>
        <w:rPr>
          <w:rStyle w:val="7"/>
          <w:rFonts w:hint="default" w:ascii="Verdana" w:hAnsi="Verdana" w:cs="Verdana"/>
          <w:b w:val="0"/>
          <w:color w:val="000000"/>
          <w:sz w:val="20"/>
          <w:szCs w:val="20"/>
          <w:lang w:val="el-GR"/>
        </w:rPr>
        <w:t>4</w:t>
      </w:r>
      <w:r>
        <w:rPr>
          <w:rStyle w:val="7"/>
          <w:rFonts w:ascii="Verdana" w:hAnsi="Verdana" w:cs="Verdana"/>
          <w:b w:val="0"/>
          <w:color w:val="000000"/>
          <w:sz w:val="20"/>
          <w:szCs w:val="20"/>
        </w:rPr>
        <w:t>,</w:t>
      </w:r>
      <w:r>
        <w:rPr>
          <w:rStyle w:val="7"/>
          <w:rFonts w:hint="default" w:ascii="Verdana" w:hAnsi="Verdana" w:cs="Verdana"/>
          <w:b w:val="0"/>
          <w:color w:val="000000"/>
          <w:sz w:val="20"/>
          <w:szCs w:val="20"/>
          <w:lang w:val="el-GR"/>
        </w:rPr>
        <w:t>40</w:t>
      </w:r>
      <w:r>
        <w:rPr>
          <w:rStyle w:val="7"/>
          <w:rFonts w:ascii="Verdana" w:hAnsi="Verdana" w:cs="Verdana"/>
          <w:b w:val="0"/>
          <w:color w:val="000000"/>
          <w:sz w:val="20"/>
          <w:szCs w:val="20"/>
        </w:rPr>
        <w:t xml:space="preserve"> τ.μ. (2,</w:t>
      </w:r>
      <w:r>
        <w:rPr>
          <w:rStyle w:val="7"/>
          <w:rFonts w:hint="default" w:ascii="Verdana" w:hAnsi="Verdana" w:cs="Verdana"/>
          <w:b w:val="0"/>
          <w:color w:val="000000"/>
          <w:sz w:val="20"/>
          <w:szCs w:val="20"/>
          <w:lang w:val="el-GR"/>
        </w:rPr>
        <w:t>2</w:t>
      </w:r>
      <w:r>
        <w:rPr>
          <w:rStyle w:val="7"/>
          <w:rFonts w:ascii="Verdana" w:hAnsi="Verdana" w:cs="Verdana"/>
          <w:b w:val="0"/>
          <w:color w:val="000000"/>
          <w:sz w:val="20"/>
          <w:szCs w:val="20"/>
        </w:rPr>
        <w:t>0χ</w:t>
      </w:r>
      <w:r>
        <w:rPr>
          <w:rStyle w:val="7"/>
          <w:rFonts w:hint="default" w:ascii="Verdana" w:hAnsi="Verdana" w:cs="Verdana"/>
          <w:b w:val="0"/>
          <w:color w:val="000000"/>
          <w:sz w:val="20"/>
          <w:szCs w:val="20"/>
          <w:lang w:val="el-GR"/>
        </w:rPr>
        <w:t>2</w:t>
      </w:r>
      <w:r>
        <w:rPr>
          <w:rStyle w:val="7"/>
          <w:rFonts w:ascii="Verdana" w:hAnsi="Verdana" w:cs="Verdana"/>
          <w:b w:val="0"/>
          <w:color w:val="000000"/>
          <w:sz w:val="20"/>
          <w:szCs w:val="20"/>
        </w:rPr>
        <w:t>,</w:t>
      </w:r>
      <w:r>
        <w:rPr>
          <w:rStyle w:val="7"/>
          <w:rFonts w:hint="default" w:ascii="Verdana" w:hAnsi="Verdana" w:cs="Verdana"/>
          <w:b w:val="0"/>
          <w:color w:val="000000"/>
          <w:sz w:val="20"/>
          <w:szCs w:val="20"/>
          <w:lang w:val="el-GR"/>
        </w:rPr>
        <w:t>0</w:t>
      </w:r>
      <w:r>
        <w:rPr>
          <w:rStyle w:val="7"/>
          <w:rFonts w:ascii="Verdana" w:hAnsi="Verdana" w:cs="Verdana"/>
          <w:b w:val="0"/>
          <w:color w:val="000000"/>
          <w:sz w:val="20"/>
          <w:szCs w:val="20"/>
        </w:rPr>
        <w:t>0) έτσι όπως αποτυπώνεται στην γενική κάτοψη της Διεύθυνσης Τεχνικών Υπηρεσιών του Δήμου Λεβαδέων.</w:t>
      </w:r>
      <w:r>
        <w:rPr>
          <w:rFonts w:ascii="Verdana" w:hAnsi="Verdana"/>
          <w:b/>
          <w:bCs/>
          <w:sz w:val="20"/>
          <w:szCs w:val="20"/>
        </w:rPr>
        <w:t xml:space="preserve">                                                                   </w:t>
      </w:r>
    </w:p>
    <w:p w14:paraId="045FFAD9">
      <w:pPr>
        <w:jc w:val="both"/>
        <w:rPr>
          <w:rFonts w:ascii="Verdana" w:hAnsi="Verdana"/>
          <w:b/>
          <w:bCs/>
          <w:sz w:val="20"/>
          <w:szCs w:val="20"/>
        </w:rPr>
      </w:pPr>
      <w:r>
        <w:rPr>
          <w:rFonts w:ascii="Verdana" w:hAnsi="Verdana"/>
          <w:b/>
          <w:bCs/>
          <w:sz w:val="20"/>
          <w:szCs w:val="20"/>
        </w:rPr>
        <w:t xml:space="preserve">                                                           </w:t>
      </w:r>
    </w:p>
    <w:p w14:paraId="4A90685C">
      <w:pPr>
        <w:jc w:val="center"/>
        <w:rPr>
          <w:rFonts w:ascii="Verdana" w:hAnsi="Verdana"/>
          <w:b/>
          <w:bCs/>
          <w:sz w:val="20"/>
          <w:szCs w:val="20"/>
        </w:rPr>
      </w:pPr>
      <w:r>
        <w:rPr>
          <w:rFonts w:ascii="Verdana" w:hAnsi="Verdana"/>
          <w:b/>
          <w:bCs/>
          <w:sz w:val="20"/>
          <w:szCs w:val="20"/>
        </w:rPr>
        <w:t>Άρθρο 14</w:t>
      </w:r>
    </w:p>
    <w:p w14:paraId="366BCAEA">
      <w:pPr>
        <w:jc w:val="center"/>
        <w:rPr>
          <w:rFonts w:ascii="Verdana" w:hAnsi="Verdana"/>
          <w:sz w:val="20"/>
          <w:szCs w:val="20"/>
        </w:rPr>
      </w:pPr>
      <w:r>
        <w:rPr>
          <w:rFonts w:ascii="Verdana" w:hAnsi="Verdana"/>
          <w:b/>
          <w:bCs/>
          <w:sz w:val="20"/>
          <w:szCs w:val="20"/>
        </w:rPr>
        <w:t>Υποχρεώσεις μισθωτή</w:t>
      </w:r>
    </w:p>
    <w:p w14:paraId="4D88880E">
      <w:pPr>
        <w:jc w:val="both"/>
        <w:rPr>
          <w:rFonts w:ascii="Verdana" w:hAnsi="Verdana"/>
          <w:sz w:val="20"/>
          <w:szCs w:val="20"/>
        </w:rPr>
      </w:pPr>
      <w:r>
        <w:rPr>
          <w:rFonts w:ascii="Verdana" w:hAnsi="Verdana"/>
          <w:sz w:val="20"/>
          <w:szCs w:val="20"/>
        </w:rPr>
        <w:t>Ο μισθωτής υποχρεούται όπως εντός τεσσάρων (4) μηνών από την υπογραφή του οικείου συμφωνητικού μίσθωσης να κάνει έναρξη πλήρους λειτουργίας του περιπτέρου και εάν εντός τεσσάρων (4) μηνών από την υπογραφή του συμφωνητικού δεν θέσει σε πλήρη λειτουργία το περίπτερο, ο εκμισθωτής Δήμος  Λεβαδέων  θα δύναται να τον κηρύξει έκπτωτο με τις σε βάρος του συνέπειες. Η μη συμμόρφωση του προς την ανωτέρω υποχρέωση συνεπάγεται έκπτωση  του μισθωτή μετά από την προηγούμενη έγγραφη κλίση προς παροχή εξηγημένων προθεσμίας 48 ωρών.</w:t>
      </w:r>
    </w:p>
    <w:p w14:paraId="6AE6A480">
      <w:pPr>
        <w:jc w:val="both"/>
        <w:rPr>
          <w:rFonts w:ascii="Verdana" w:hAnsi="Verdana"/>
          <w:sz w:val="20"/>
          <w:szCs w:val="20"/>
        </w:rPr>
      </w:pPr>
      <w:r>
        <w:rPr>
          <w:rFonts w:ascii="Verdana" w:hAnsi="Verdana"/>
          <w:sz w:val="20"/>
          <w:szCs w:val="20"/>
        </w:rPr>
        <w:t>Στη περίπτωση αυτή η σύμβαση  μίσθωσης λύνεται, ο δε μισθωτής δεν έχει δικαίωμα να αναζητήσει το τυχόν υπόλοιπο καταβληθέν μίσθωμα , το οποίο καταπίπτει υπέρ του εκμισθωτή Δήμου  Λεβαδέων, ως συμφωνημένης από τώρα ποινικής ρήτρας για παράβαση ουσιώδους όρου της μίσθωσης.</w:t>
      </w:r>
    </w:p>
    <w:p w14:paraId="486428FB">
      <w:pPr>
        <w:jc w:val="both"/>
        <w:rPr>
          <w:rFonts w:ascii="Verdana" w:hAnsi="Verdana"/>
          <w:sz w:val="20"/>
          <w:szCs w:val="20"/>
        </w:rPr>
      </w:pPr>
      <w:r>
        <w:rPr>
          <w:rFonts w:ascii="Verdana" w:hAnsi="Verdana"/>
          <w:sz w:val="20"/>
          <w:szCs w:val="20"/>
        </w:rPr>
        <w:t>Ο μισθωτής υποχρεούται να  διατηρεί και διαφυλάσσει την κατοχή του μισθίου, τις υπέρ αυτού δουλείες , τα όρια αυτού και εν γένει το μίσθιο, σε καλή  κατάσταση , προστατεύοντας αυτό απέναντι σε κάθε καταπάτηση, διαφορετικά ευθύνεται σε αποζημίωση.</w:t>
      </w:r>
    </w:p>
    <w:p w14:paraId="3BED9B42">
      <w:pPr>
        <w:jc w:val="both"/>
        <w:rPr>
          <w:rFonts w:ascii="Verdana" w:hAnsi="Verdana"/>
          <w:sz w:val="20"/>
          <w:szCs w:val="20"/>
        </w:rPr>
      </w:pPr>
      <w:r>
        <w:rPr>
          <w:rFonts w:ascii="Verdana" w:hAnsi="Verdana"/>
          <w:sz w:val="20"/>
          <w:szCs w:val="20"/>
        </w:rPr>
        <w:t xml:space="preserve">Ο μισθωτής υποχρεούται με τη λήξη της μίσθωσης, αν παραδώσει το μίσθιον στην κατάσταση </w:t>
      </w:r>
    </w:p>
    <w:p w14:paraId="54F8E287">
      <w:pPr>
        <w:jc w:val="both"/>
        <w:rPr>
          <w:rFonts w:ascii="Verdana" w:hAnsi="Verdana"/>
          <w:sz w:val="20"/>
          <w:szCs w:val="20"/>
        </w:rPr>
      </w:pPr>
      <w:r>
        <w:rPr>
          <w:rFonts w:ascii="Verdana" w:hAnsi="Verdana"/>
          <w:sz w:val="20"/>
          <w:szCs w:val="20"/>
        </w:rPr>
        <w:t>στην οποία το παρέλαβε , διαφορετικά ευθύνεται σε αποζημίωση ίση με το ποσό της ζημίας η οποία θα εκτιμηθεί από την Τεχνική Υπηρεσία του Δήμου  Λεβαδέων.</w:t>
      </w:r>
    </w:p>
    <w:p w14:paraId="13633D0F">
      <w:pPr>
        <w:jc w:val="both"/>
        <w:rPr>
          <w:rFonts w:ascii="Verdana" w:hAnsi="Verdana"/>
          <w:sz w:val="20"/>
          <w:szCs w:val="20"/>
        </w:rPr>
      </w:pPr>
      <w:r>
        <w:rPr>
          <w:rFonts w:ascii="Verdana" w:hAnsi="Verdana"/>
          <w:sz w:val="20"/>
          <w:szCs w:val="20"/>
        </w:rPr>
        <w:t>Τα τέλη καθαριότητας , ύδρευσης , φωτισμού, τηλεφωνικά τέλη  κ.λ.π. καθώς και κάθε είδους φόροι, εισφορές, τέλη, κρατήσεις υπέρ τρίτων και κάθε άλλη δαπάνη θα βαρύνουν τον μισθωτή.</w:t>
      </w:r>
    </w:p>
    <w:p w14:paraId="04A2C2F9">
      <w:pPr>
        <w:jc w:val="both"/>
        <w:rPr>
          <w:rFonts w:ascii="Verdana" w:hAnsi="Verdana"/>
          <w:sz w:val="20"/>
          <w:szCs w:val="20"/>
        </w:rPr>
      </w:pPr>
      <w:r>
        <w:rPr>
          <w:rFonts w:ascii="Verdana" w:hAnsi="Verdana"/>
          <w:sz w:val="20"/>
          <w:szCs w:val="20"/>
        </w:rPr>
        <w:t>Ο μισθωτής είναι αποκλειστικά υπεύθυνος έναντι κάθε δημόσιας ή άλλης Αρχής, Ασφαλιστικό Οργανισμό ή οποιονδήποτε άλλον φορέα ή υπηρεσία που συνδέεται με τη χρήση του μισθίου κατά την λειτουργία αυτού αλλά και τυχόν τεχνικών επισκευών.</w:t>
      </w:r>
    </w:p>
    <w:p w14:paraId="1E6E8707">
      <w:pPr>
        <w:jc w:val="both"/>
        <w:rPr>
          <w:rFonts w:ascii="Verdana" w:hAnsi="Verdana"/>
          <w:sz w:val="20"/>
          <w:szCs w:val="20"/>
        </w:rPr>
      </w:pPr>
      <w:r>
        <w:rPr>
          <w:rFonts w:ascii="Verdana" w:hAnsi="Verdana"/>
          <w:sz w:val="20"/>
          <w:szCs w:val="20"/>
        </w:rPr>
        <w:t>Ο μισθωτής υποχρεούται να διατηρεί απόλυτη καθαριότητα σε όλους τους χώρους του μσθίου και να τηρεί πλήρως τους γενικούς κανόνες υγιεινής  συμμορφούμενος  απόλυτα  με τις οδηγίες της αρμόδιας Υγειονομικής Υπηρεσίας.</w:t>
      </w:r>
    </w:p>
    <w:p w14:paraId="7225BE24">
      <w:pPr>
        <w:jc w:val="both"/>
        <w:rPr>
          <w:rFonts w:ascii="Verdana" w:hAnsi="Verdana"/>
          <w:sz w:val="20"/>
          <w:szCs w:val="20"/>
        </w:rPr>
      </w:pPr>
      <w:r>
        <w:rPr>
          <w:rFonts w:ascii="Verdana" w:hAnsi="Verdana"/>
          <w:sz w:val="20"/>
          <w:szCs w:val="20"/>
        </w:rPr>
        <w:t>Όλες οι εργασίες συντήρησης του χώρου θα βαρύνουν τον μισθωτή.</w:t>
      </w:r>
    </w:p>
    <w:p w14:paraId="3A4871AB">
      <w:pPr>
        <w:jc w:val="both"/>
        <w:rPr>
          <w:rFonts w:ascii="Verdana" w:hAnsi="Verdana"/>
          <w:sz w:val="20"/>
          <w:szCs w:val="20"/>
        </w:rPr>
      </w:pPr>
      <w:r>
        <w:rPr>
          <w:rFonts w:ascii="Verdana" w:hAnsi="Verdana"/>
          <w:sz w:val="20"/>
          <w:szCs w:val="20"/>
        </w:rPr>
        <w:t>Ο μισθωτής δεν απαλλάσσεται από την πληρωμή του ενοικίου εάν δεν έκανε χρήση του μισθίου χωρίς υπαιτιότητα του  εκμισθωτή.</w:t>
      </w:r>
    </w:p>
    <w:p w14:paraId="79BF51BB">
      <w:pPr>
        <w:jc w:val="both"/>
        <w:rPr>
          <w:rFonts w:ascii="Verdana" w:hAnsi="Verdana"/>
          <w:sz w:val="20"/>
          <w:szCs w:val="20"/>
        </w:rPr>
      </w:pPr>
      <w:r>
        <w:rPr>
          <w:rFonts w:ascii="Verdana" w:hAnsi="Verdana"/>
          <w:sz w:val="20"/>
          <w:szCs w:val="20"/>
        </w:rPr>
        <w:t>Ο μισθωτής δεν έχει δικαίωμα μείωσης του μισθώματος για βλάβη από θεομηνίες ή άλλη  οποιαδήποτε αιτία που τυχόν θα επέλθει μετά την κατακύρωση του αποτελέσματος.</w:t>
      </w:r>
    </w:p>
    <w:p w14:paraId="68198EC0">
      <w:pPr>
        <w:jc w:val="both"/>
        <w:rPr>
          <w:rFonts w:ascii="Verdana" w:hAnsi="Verdana"/>
          <w:sz w:val="20"/>
          <w:szCs w:val="20"/>
        </w:rPr>
      </w:pPr>
      <w:r>
        <w:rPr>
          <w:rFonts w:ascii="Verdana" w:hAnsi="Verdana"/>
          <w:sz w:val="20"/>
          <w:szCs w:val="20"/>
        </w:rPr>
        <w:t>Σε περίπτωση μη χορήγησης  άδειας από τα αρμόδια όργανα (υγειονομικό, κ.λ.π. ) ή αφαίρεση της άδειας λειτουργίας, ο μισθωτής  δεν απαλλάσσεται από την υποχρέωση καταβολής του τμήματος  όσο διαρκεί η σύμβαση παραχώρησης.</w:t>
      </w:r>
    </w:p>
    <w:p w14:paraId="34460551">
      <w:pPr>
        <w:jc w:val="both"/>
        <w:rPr>
          <w:rFonts w:ascii="Verdana" w:hAnsi="Verdana"/>
          <w:sz w:val="20"/>
          <w:szCs w:val="20"/>
        </w:rPr>
      </w:pPr>
      <w:r>
        <w:rPr>
          <w:rFonts w:ascii="Verdana" w:hAnsi="Verdana"/>
          <w:sz w:val="20"/>
          <w:szCs w:val="20"/>
        </w:rPr>
        <w:t>Ο μισθωτής υποχρεούται να τηρεί τις προβλεπόμενες διατάξεις περί πωλούμενων προϊόντων  στα περίπτερα.</w:t>
      </w:r>
    </w:p>
    <w:p w14:paraId="067100E2">
      <w:pPr>
        <w:jc w:val="both"/>
        <w:rPr>
          <w:rFonts w:ascii="Verdana" w:hAnsi="Verdana"/>
          <w:sz w:val="20"/>
          <w:szCs w:val="20"/>
        </w:rPr>
      </w:pPr>
      <w:r>
        <w:rPr>
          <w:rFonts w:ascii="Verdana" w:hAnsi="Verdana"/>
          <w:sz w:val="20"/>
          <w:szCs w:val="20"/>
        </w:rPr>
        <w:t>Ο μισθωτής υποχρεούται να τηρεί πιστά τον Κανονισμό Λειτουργίας Περιπτέρων του Δήμου Λεβαδέων.</w:t>
      </w:r>
    </w:p>
    <w:p w14:paraId="73F11F79">
      <w:pPr>
        <w:jc w:val="center"/>
        <w:rPr>
          <w:rFonts w:ascii="Verdana" w:hAnsi="Verdana"/>
          <w:b/>
          <w:bCs/>
          <w:sz w:val="20"/>
          <w:szCs w:val="20"/>
        </w:rPr>
      </w:pPr>
    </w:p>
    <w:p w14:paraId="536CE01B">
      <w:pPr>
        <w:jc w:val="center"/>
        <w:rPr>
          <w:rFonts w:ascii="Verdana" w:hAnsi="Verdana"/>
          <w:sz w:val="20"/>
          <w:szCs w:val="20"/>
        </w:rPr>
      </w:pPr>
      <w:r>
        <w:rPr>
          <w:rFonts w:ascii="Verdana" w:hAnsi="Verdana"/>
          <w:b/>
          <w:bCs/>
          <w:sz w:val="20"/>
          <w:szCs w:val="20"/>
        </w:rPr>
        <w:t>Άρθρο 15</w:t>
      </w:r>
    </w:p>
    <w:p w14:paraId="1A197865">
      <w:pPr>
        <w:jc w:val="center"/>
        <w:rPr>
          <w:rFonts w:ascii="Verdana" w:hAnsi="Verdana"/>
          <w:sz w:val="20"/>
          <w:szCs w:val="20"/>
        </w:rPr>
      </w:pPr>
      <w:r>
        <w:rPr>
          <w:rFonts w:ascii="Verdana" w:hAnsi="Verdana"/>
          <w:b/>
          <w:bCs/>
          <w:sz w:val="20"/>
          <w:szCs w:val="20"/>
        </w:rPr>
        <w:t>Αναμίσθωση-  Υπεκμίσθωση</w:t>
      </w:r>
    </w:p>
    <w:p w14:paraId="7B5613D7">
      <w:pPr>
        <w:jc w:val="both"/>
        <w:rPr>
          <w:rFonts w:ascii="Verdana" w:hAnsi="Verdana"/>
          <w:sz w:val="20"/>
          <w:szCs w:val="20"/>
        </w:rPr>
      </w:pPr>
      <w:r>
        <w:rPr>
          <w:rFonts w:ascii="Verdana" w:hAnsi="Verdana"/>
          <w:sz w:val="20"/>
          <w:szCs w:val="20"/>
        </w:rPr>
        <w:t xml:space="preserve">Απαγορεύεται η αναμίσθωση, η υπεκμίσθωση και η εν γένει περαιτέρω παραχώρηση του δικαιώματος χρήσης σε τρίτους, με την επιφύλαξη των διατάξεων της παραγράφου </w:t>
      </w:r>
      <w:r>
        <w:rPr>
          <w:rFonts w:hint="default" w:ascii="Verdana" w:hAnsi="Verdana"/>
          <w:sz w:val="20"/>
          <w:szCs w:val="20"/>
          <w:lang w:val="el-GR"/>
        </w:rPr>
        <w:t>2</w:t>
      </w:r>
      <w:r>
        <w:rPr>
          <w:rFonts w:ascii="Verdana" w:hAnsi="Verdana"/>
          <w:sz w:val="20"/>
          <w:szCs w:val="20"/>
        </w:rPr>
        <w:t xml:space="preserve"> του άρθρου </w:t>
      </w:r>
      <w:r>
        <w:rPr>
          <w:rFonts w:hint="default" w:ascii="Verdana" w:hAnsi="Verdana"/>
          <w:sz w:val="20"/>
          <w:szCs w:val="20"/>
          <w:lang w:val="el-GR"/>
        </w:rPr>
        <w:t>584</w:t>
      </w:r>
      <w:r>
        <w:rPr>
          <w:rFonts w:ascii="Verdana" w:hAnsi="Verdana"/>
          <w:sz w:val="20"/>
          <w:szCs w:val="20"/>
        </w:rPr>
        <w:t xml:space="preserve"> του Ν. </w:t>
      </w:r>
      <w:r>
        <w:rPr>
          <w:rFonts w:hint="default" w:ascii="Verdana" w:hAnsi="Verdana"/>
          <w:sz w:val="20"/>
          <w:szCs w:val="20"/>
          <w:lang w:val="el-GR"/>
        </w:rPr>
        <w:t>5314</w:t>
      </w:r>
      <w:r>
        <w:rPr>
          <w:rFonts w:ascii="Verdana" w:hAnsi="Verdana"/>
          <w:sz w:val="20"/>
          <w:szCs w:val="20"/>
        </w:rPr>
        <w:t>/20</w:t>
      </w:r>
      <w:r>
        <w:rPr>
          <w:rFonts w:hint="default" w:ascii="Verdana" w:hAnsi="Verdana"/>
          <w:sz w:val="20"/>
          <w:szCs w:val="20"/>
          <w:lang w:val="el-GR"/>
        </w:rPr>
        <w:t>26</w:t>
      </w:r>
      <w:r>
        <w:rPr>
          <w:rFonts w:ascii="Verdana" w:hAnsi="Verdana"/>
          <w:sz w:val="20"/>
          <w:szCs w:val="20"/>
        </w:rPr>
        <w:t>, σύμφωνα με την οποία επιτρέπεται η εκμίσθωση του δικαιώματος  εκμετάλλευσης σε τρίτους, μόνον για λόγους γήρατος ή σε περίπτωση αναπηρίας σε ποσοστό 67% και άνω, η οποία  αποδεικνύεται βάσει των εκάστοτε ισχυουσών διατάξεων. Η διάρκεια της μίσθωσης δεν μπορεί να υπερβαίνει το χρόνο λήξης της μίσθωσης δηλαδή τα 10 χρόνια κατ΄ ανώτατο.  Αντίγραφο του μισθωτηρίου συμβολαίου προσκομίζεται εντός (30) ημερών στο Δήμο  Λεβαδέων, ο οποίος  εκδίδει πράξη με την οποία διαπιστώνεται η περαιτέρω παραχώρηση. Σε περίπτωση διακοπής της μίσθωσης υποχρεούνται τα συμβαλλόμενα μέρη να ενημερώνουν εντός (30) ημερών το αρμόδιο γραφείο του Δήμου (Τμήμα Τοπικής Ανάπτυξης).</w:t>
      </w:r>
    </w:p>
    <w:p w14:paraId="491D4EED">
      <w:pPr>
        <w:jc w:val="both"/>
        <w:rPr>
          <w:rFonts w:ascii="Verdana" w:hAnsi="Verdana"/>
          <w:sz w:val="20"/>
          <w:szCs w:val="20"/>
        </w:rPr>
      </w:pPr>
    </w:p>
    <w:p w14:paraId="5C466EB3">
      <w:pPr>
        <w:jc w:val="center"/>
        <w:rPr>
          <w:rFonts w:ascii="Verdana" w:hAnsi="Verdana"/>
          <w:sz w:val="20"/>
          <w:szCs w:val="20"/>
        </w:rPr>
      </w:pPr>
      <w:r>
        <w:rPr>
          <w:rFonts w:ascii="Verdana" w:hAnsi="Verdana"/>
          <w:b/>
          <w:bCs/>
          <w:sz w:val="20"/>
          <w:szCs w:val="20"/>
        </w:rPr>
        <w:t>Άρθρο  16</w:t>
      </w:r>
    </w:p>
    <w:p w14:paraId="0DF9F873">
      <w:pPr>
        <w:jc w:val="center"/>
        <w:rPr>
          <w:rFonts w:ascii="Verdana" w:hAnsi="Verdana"/>
          <w:b/>
          <w:bCs/>
          <w:sz w:val="20"/>
          <w:szCs w:val="20"/>
        </w:rPr>
      </w:pPr>
      <w:r>
        <w:rPr>
          <w:rFonts w:ascii="Verdana" w:hAnsi="Verdana"/>
          <w:b/>
          <w:bCs/>
          <w:sz w:val="20"/>
          <w:szCs w:val="20"/>
        </w:rPr>
        <w:t>Κληρονόμοι  Μισθωτή</w:t>
      </w:r>
    </w:p>
    <w:p w14:paraId="14A63FEC">
      <w:pPr>
        <w:jc w:val="both"/>
        <w:rPr>
          <w:rFonts w:ascii="Verdana" w:hAnsi="Verdana"/>
          <w:sz w:val="20"/>
          <w:szCs w:val="20"/>
        </w:rPr>
      </w:pPr>
      <w:r>
        <w:rPr>
          <w:rFonts w:ascii="Verdana" w:hAnsi="Verdana"/>
          <w:sz w:val="20"/>
          <w:szCs w:val="20"/>
        </w:rPr>
        <w:t>Σύζυγος και ενήλικα τέκνα που καθίστανται κληρονόμοι των ατόμων που εκμεταλλεύονται το ως άνω περίπτερο κατά το διάστημα των δέκα (10) ετών της παραχώρησης υπεισέρχονται αυτοδίκαια στο ανωτέρω δικαίωμα, για το διάστημα μέχρι τη συμπλήρωση  της 10ετίας , εφόσον δηλώσουν την επιθυμία τους στην αρμόδια αρχή (Δήμο) , εντός ενός (1) μηνός από του θανάτου του προσώπου στο οποίο έχει παραχωρηθεί η συγκεκριμένη θέση εκμετάλλευσης του περιπτέρου.</w:t>
      </w:r>
    </w:p>
    <w:p w14:paraId="474A68A1">
      <w:pPr>
        <w:jc w:val="both"/>
        <w:rPr>
          <w:rFonts w:ascii="Verdana" w:hAnsi="Verdana"/>
          <w:sz w:val="20"/>
          <w:szCs w:val="20"/>
        </w:rPr>
      </w:pPr>
      <w:r>
        <w:rPr>
          <w:rFonts w:ascii="Verdana" w:hAnsi="Verdana"/>
          <w:sz w:val="20"/>
          <w:szCs w:val="20"/>
        </w:rPr>
        <w:t xml:space="preserve">                                    </w:t>
      </w:r>
    </w:p>
    <w:p w14:paraId="0C7B3848">
      <w:pPr>
        <w:jc w:val="center"/>
        <w:rPr>
          <w:rFonts w:ascii="Verdana" w:hAnsi="Verdana"/>
          <w:sz w:val="20"/>
          <w:szCs w:val="20"/>
        </w:rPr>
      </w:pPr>
      <w:r>
        <w:rPr>
          <w:rFonts w:ascii="Verdana" w:hAnsi="Verdana"/>
          <w:b/>
          <w:bCs/>
          <w:sz w:val="20"/>
          <w:szCs w:val="20"/>
        </w:rPr>
        <w:t>Άρθρο 17</w:t>
      </w:r>
    </w:p>
    <w:p w14:paraId="75E190E3">
      <w:pPr>
        <w:jc w:val="center"/>
        <w:rPr>
          <w:rFonts w:ascii="Verdana" w:hAnsi="Verdana"/>
          <w:b/>
          <w:bCs/>
          <w:sz w:val="20"/>
          <w:szCs w:val="20"/>
        </w:rPr>
      </w:pPr>
      <w:r>
        <w:rPr>
          <w:rFonts w:ascii="Verdana" w:hAnsi="Verdana"/>
          <w:b/>
          <w:bCs/>
          <w:sz w:val="20"/>
          <w:szCs w:val="20"/>
        </w:rPr>
        <w:t>Δικαίωμα χρήσης κοινόχρηστου χώρου</w:t>
      </w:r>
    </w:p>
    <w:p w14:paraId="1DEBDD46">
      <w:pPr>
        <w:jc w:val="both"/>
        <w:rPr>
          <w:rFonts w:ascii="Verdana" w:hAnsi="Verdana"/>
          <w:sz w:val="20"/>
          <w:szCs w:val="20"/>
        </w:rPr>
      </w:pPr>
      <w:r>
        <w:rPr>
          <w:rFonts w:ascii="Verdana" w:hAnsi="Verdana"/>
          <w:b/>
          <w:bCs/>
          <w:sz w:val="20"/>
          <w:szCs w:val="20"/>
        </w:rPr>
        <w:t xml:space="preserve"> </w:t>
      </w:r>
      <w:r>
        <w:rPr>
          <w:rFonts w:ascii="Verdana" w:hAnsi="Verdana"/>
          <w:sz w:val="20"/>
          <w:szCs w:val="20"/>
        </w:rPr>
        <w:t xml:space="preserve">Σε περίπτωση παραχώρησης του δικαιώματος χρήσης κοινόχρηστου  χώρου, πέραν αυτού που καταλαμβάνει η κατασκευή του περιπτέρου,  εφαρμόζονται οι διατάξεις του άρθρου </w:t>
      </w:r>
      <w:r>
        <w:rPr>
          <w:rFonts w:hint="default" w:ascii="Verdana" w:hAnsi="Verdana"/>
          <w:sz w:val="20"/>
          <w:szCs w:val="20"/>
          <w:lang w:val="el-GR"/>
        </w:rPr>
        <w:t>576</w:t>
      </w:r>
      <w:r>
        <w:rPr>
          <w:rFonts w:ascii="Verdana" w:hAnsi="Verdana"/>
          <w:sz w:val="20"/>
          <w:szCs w:val="20"/>
        </w:rPr>
        <w:t xml:space="preserve"> του Ν. </w:t>
      </w:r>
      <w:r>
        <w:rPr>
          <w:rFonts w:hint="default" w:ascii="Verdana" w:hAnsi="Verdana"/>
          <w:sz w:val="20"/>
          <w:szCs w:val="20"/>
          <w:lang w:val="el-GR"/>
        </w:rPr>
        <w:t>5314</w:t>
      </w:r>
      <w:r>
        <w:rPr>
          <w:rFonts w:ascii="Verdana" w:hAnsi="Verdana"/>
          <w:sz w:val="20"/>
          <w:szCs w:val="20"/>
        </w:rPr>
        <w:t>/</w:t>
      </w:r>
      <w:r>
        <w:rPr>
          <w:rFonts w:hint="default" w:ascii="Verdana" w:hAnsi="Verdana"/>
          <w:sz w:val="20"/>
          <w:szCs w:val="20"/>
          <w:lang w:val="el-GR"/>
        </w:rPr>
        <w:t>2026</w:t>
      </w:r>
      <w:r>
        <w:rPr>
          <w:rFonts w:ascii="Verdana" w:hAnsi="Verdana"/>
          <w:sz w:val="20"/>
          <w:szCs w:val="20"/>
        </w:rPr>
        <w:t xml:space="preserve"> καθώς επίσης και οι ισχύουσες κάθε φορά αποφάσεις του Δημοτικού  Συμβουλίου Λεβαδέων περί καθορισμού τελών χρήσης κοινόχρηστων χώρων και ο Κανονισμός Λειτουργίας Περιπτέρων.</w:t>
      </w:r>
    </w:p>
    <w:p w14:paraId="6BDFC9F0">
      <w:pPr>
        <w:jc w:val="both"/>
        <w:rPr>
          <w:rFonts w:ascii="Verdana" w:hAnsi="Verdana"/>
          <w:b/>
          <w:bCs/>
          <w:sz w:val="20"/>
          <w:szCs w:val="20"/>
        </w:rPr>
      </w:pPr>
      <w:r>
        <w:rPr>
          <w:rFonts w:ascii="Verdana" w:hAnsi="Verdana"/>
          <w:b/>
          <w:bCs/>
          <w:sz w:val="20"/>
          <w:szCs w:val="20"/>
        </w:rPr>
        <w:t xml:space="preserve">                                                       </w:t>
      </w:r>
    </w:p>
    <w:p w14:paraId="5A848D0E">
      <w:pPr>
        <w:jc w:val="both"/>
        <w:rPr>
          <w:rFonts w:ascii="Verdana" w:hAnsi="Verdana"/>
          <w:b/>
          <w:bCs/>
          <w:sz w:val="20"/>
          <w:szCs w:val="20"/>
        </w:rPr>
      </w:pPr>
    </w:p>
    <w:p w14:paraId="02608EE6">
      <w:pPr>
        <w:jc w:val="center"/>
        <w:rPr>
          <w:rFonts w:ascii="Verdana" w:hAnsi="Verdana"/>
          <w:b/>
          <w:bCs/>
          <w:sz w:val="20"/>
          <w:szCs w:val="20"/>
        </w:rPr>
      </w:pPr>
      <w:r>
        <w:rPr>
          <w:rFonts w:ascii="Verdana" w:hAnsi="Verdana"/>
          <w:b/>
          <w:bCs/>
          <w:sz w:val="20"/>
          <w:szCs w:val="20"/>
        </w:rPr>
        <w:t>Άρθρο 18</w:t>
      </w:r>
    </w:p>
    <w:p w14:paraId="013B253B">
      <w:pPr>
        <w:jc w:val="center"/>
        <w:rPr>
          <w:rFonts w:ascii="Verdana" w:hAnsi="Verdana"/>
          <w:b/>
          <w:bCs/>
          <w:sz w:val="20"/>
          <w:szCs w:val="20"/>
        </w:rPr>
      </w:pPr>
      <w:r>
        <w:rPr>
          <w:rFonts w:ascii="Verdana" w:hAnsi="Verdana"/>
          <w:b/>
          <w:bCs/>
          <w:sz w:val="20"/>
          <w:szCs w:val="20"/>
        </w:rPr>
        <w:t>Ευθύνη  Δήμου</w:t>
      </w:r>
    </w:p>
    <w:p w14:paraId="1E69362D">
      <w:pPr>
        <w:jc w:val="both"/>
        <w:rPr>
          <w:rFonts w:ascii="Verdana" w:hAnsi="Verdana"/>
          <w:b/>
          <w:bCs/>
          <w:sz w:val="20"/>
          <w:szCs w:val="20"/>
        </w:rPr>
      </w:pPr>
      <w:r>
        <w:rPr>
          <w:rFonts w:ascii="Verdana" w:hAnsi="Verdana"/>
          <w:sz w:val="20"/>
          <w:szCs w:val="20"/>
        </w:rPr>
        <w:t>Ο Δήμος δεν ευθύνεται έναντι του μισθωτή για την πραγματική κατάσταση στην οποία βρίσκεται το μίσθιο, της οποίας  τεκμαίρεται ότι έχει λάβει γνώση  , ούτε για την ύπαρξη οποιασδήποτε δουλείας επί του κτήματος, ούτε, συνεπώς, υποχρεούται  στην επιστροφή ή μείωση του μισθώματος, ούτε στη λύση μισθώσεως.</w:t>
      </w:r>
    </w:p>
    <w:p w14:paraId="2AA07EAF">
      <w:pPr>
        <w:jc w:val="both"/>
        <w:rPr>
          <w:rFonts w:ascii="Verdana" w:hAnsi="Verdana"/>
          <w:sz w:val="20"/>
          <w:szCs w:val="20"/>
        </w:rPr>
      </w:pPr>
    </w:p>
    <w:p w14:paraId="70B8A194">
      <w:pPr>
        <w:jc w:val="both"/>
        <w:rPr>
          <w:rFonts w:ascii="Verdana" w:hAnsi="Verdana"/>
          <w:sz w:val="20"/>
          <w:szCs w:val="20"/>
        </w:rPr>
      </w:pPr>
      <w:r>
        <w:rPr>
          <w:rFonts w:ascii="Verdana" w:hAnsi="Verdana"/>
          <w:sz w:val="20"/>
          <w:szCs w:val="20"/>
        </w:rPr>
        <w:t xml:space="preserve">                                                                   </w:t>
      </w:r>
      <w:r>
        <w:rPr>
          <w:rFonts w:ascii="Verdana" w:hAnsi="Verdana"/>
          <w:b/>
          <w:bCs/>
          <w:sz w:val="20"/>
          <w:szCs w:val="20"/>
        </w:rPr>
        <w:t xml:space="preserve">Άρθρο 19 </w:t>
      </w:r>
    </w:p>
    <w:p w14:paraId="12FE77BA">
      <w:pPr>
        <w:jc w:val="both"/>
        <w:rPr>
          <w:rFonts w:ascii="Verdana" w:hAnsi="Verdana"/>
          <w:sz w:val="20"/>
          <w:szCs w:val="20"/>
        </w:rPr>
      </w:pPr>
      <w:r>
        <w:rPr>
          <w:rFonts w:ascii="Verdana" w:hAnsi="Verdana"/>
          <w:b/>
          <w:bCs/>
          <w:sz w:val="20"/>
          <w:szCs w:val="20"/>
        </w:rPr>
        <w:t xml:space="preserve">                                                        Κατασκευή περιπτέρου</w:t>
      </w:r>
    </w:p>
    <w:p w14:paraId="096D5CDD">
      <w:pPr>
        <w:jc w:val="both"/>
        <w:rPr>
          <w:rFonts w:ascii="Verdana" w:hAnsi="Verdana"/>
          <w:sz w:val="20"/>
          <w:szCs w:val="20"/>
        </w:rPr>
      </w:pPr>
      <w:r>
        <w:rPr>
          <w:rFonts w:ascii="Verdana" w:hAnsi="Verdana"/>
          <w:sz w:val="20"/>
          <w:szCs w:val="20"/>
        </w:rPr>
        <w:t>Ο μισθωτής της κενωθείσας θέσης περιπτέρου, που θα προκύψει μετά την δημοπρασία, οφείλει να συμμορφωθεί με τους όρους της υπ. Αριθμ. 264/2015 Κανονιστικής Απόφασης του Δήμου Λεβαδέων  καθώς και να συμμορφώνεται με κάθε νέα Κανονιστική Απόφαση.</w:t>
      </w:r>
    </w:p>
    <w:p w14:paraId="380B1984">
      <w:pPr>
        <w:jc w:val="both"/>
        <w:rPr>
          <w:rFonts w:ascii="Verdana" w:hAnsi="Verdana"/>
          <w:sz w:val="20"/>
          <w:szCs w:val="20"/>
        </w:rPr>
      </w:pPr>
      <w:r>
        <w:rPr>
          <w:rFonts w:ascii="Verdana" w:hAnsi="Verdana"/>
          <w:sz w:val="20"/>
          <w:szCs w:val="20"/>
        </w:rPr>
        <w:t>Σύμφωνα με την Κανονιστική Απόφαση θα πρέπει ο μισθωτής να ακολουθήσει τις εξής γενικές αρχές τοποθέτησης περιπτέρων, σχετικά με τον τύπο και τις διαστάσεις αυτών :</w:t>
      </w:r>
    </w:p>
    <w:p w14:paraId="7C4117AC">
      <w:pPr>
        <w:jc w:val="both"/>
        <w:rPr>
          <w:rFonts w:ascii="Verdana" w:hAnsi="Verdana"/>
          <w:sz w:val="20"/>
          <w:szCs w:val="20"/>
        </w:rPr>
      </w:pPr>
      <w:r>
        <w:rPr>
          <w:rFonts w:ascii="Verdana" w:hAnsi="Verdana"/>
          <w:sz w:val="20"/>
          <w:szCs w:val="20"/>
        </w:rPr>
        <w:t xml:space="preserve">Ο συνολικός χώρος κατάληψης κάθε περιπτέρου να είναι </w:t>
      </w:r>
      <w:r>
        <w:rPr>
          <w:rFonts w:hint="default" w:ascii="Verdana" w:hAnsi="Verdana"/>
          <w:sz w:val="20"/>
          <w:szCs w:val="20"/>
          <w:lang w:val="el-GR"/>
        </w:rPr>
        <w:t>10,71</w:t>
      </w:r>
      <w:r>
        <w:rPr>
          <w:rFonts w:ascii="Verdana" w:hAnsi="Verdana"/>
          <w:sz w:val="20"/>
          <w:szCs w:val="20"/>
        </w:rPr>
        <w:t xml:space="preserve"> τ.μ. συμπεριλαμβανομένου του κουβουκλίου το οποίο θα είναι έως </w:t>
      </w:r>
      <w:r>
        <w:rPr>
          <w:rFonts w:hint="default" w:ascii="Verdana" w:hAnsi="Verdana"/>
          <w:sz w:val="20"/>
          <w:szCs w:val="20"/>
          <w:lang w:val="el-GR"/>
        </w:rPr>
        <w:t>3</w:t>
      </w:r>
      <w:r>
        <w:rPr>
          <w:rFonts w:ascii="Verdana" w:hAnsi="Verdana"/>
          <w:sz w:val="20"/>
          <w:szCs w:val="20"/>
        </w:rPr>
        <w:t>,</w:t>
      </w:r>
      <w:r>
        <w:rPr>
          <w:rFonts w:hint="default" w:ascii="Verdana" w:hAnsi="Verdana"/>
          <w:sz w:val="20"/>
          <w:szCs w:val="20"/>
          <w:lang w:val="el-GR"/>
        </w:rPr>
        <w:t>74</w:t>
      </w:r>
      <w:r>
        <w:rPr>
          <w:rFonts w:ascii="Verdana" w:hAnsi="Verdana"/>
          <w:sz w:val="20"/>
          <w:szCs w:val="20"/>
        </w:rPr>
        <w:t xml:space="preserve"> τ.μ..  Για περίπτερα που βρίσκονται μπροστά από τις προσόψεις καταστημάτων ή γενικότερα εμποδίζουν, από την κατάληψη κοινόχρηστου χώρου, πέραν του κουβουκλίου τους, την θέα προς τους υπόλοιπους κοινόχρηστους  χώρους  ο συνολικός χώρος κατάληψης κάθε περιπτέρου μπορεί να είναι 10 τ.μ.  συμπεριλαμβανομένου του κουβουκλίου το οποίο δεν θα ξεπερνά τα 6,25 τ.μ.</w:t>
      </w:r>
    </w:p>
    <w:p w14:paraId="107A9D29">
      <w:pPr>
        <w:jc w:val="both"/>
        <w:rPr>
          <w:rFonts w:ascii="Verdana" w:hAnsi="Verdana"/>
          <w:sz w:val="20"/>
          <w:szCs w:val="20"/>
        </w:rPr>
      </w:pPr>
      <w:r>
        <w:rPr>
          <w:rFonts w:ascii="Verdana" w:hAnsi="Verdana"/>
          <w:sz w:val="20"/>
          <w:szCs w:val="20"/>
        </w:rPr>
        <w:t>Οπωσδήποτε δεν θα πρέπει να παρακωλύεται η ομαλή και ασφαλή κυκλοφορία των πεζών και των οχημάτων και θα πρέπει να μένει ελεύθερος χώρος τουλάχιστον 1,6, μ. Η τέντα μπορεί να εκτείνεται έως 0,5μ. Από το εσώτερο άκρο του κρασπέδου , μόνο εφόσον αφήνει ελεύθερο ύψος  2,40 μ. Χρήση κοινόχρηστου χώρου μπορεί να γίνει μόνο κατόπιν εκδόσεως αδείας από την αρμόδια αρχή, σύμφωνα με την κείμενη νομοθεσία. Ο χώρος κάτω από τη τέντα θεωρείται ως κοινόχρηστος χώρος που έχει καταληφθεί για την χρήση του περιπτέρου.</w:t>
      </w:r>
    </w:p>
    <w:p w14:paraId="68682117">
      <w:pPr>
        <w:jc w:val="both"/>
        <w:rPr>
          <w:rFonts w:ascii="Verdana" w:hAnsi="Verdana"/>
          <w:sz w:val="20"/>
          <w:szCs w:val="20"/>
        </w:rPr>
      </w:pPr>
      <w:r>
        <w:rPr>
          <w:rFonts w:ascii="Verdana" w:hAnsi="Verdana"/>
          <w:sz w:val="20"/>
          <w:szCs w:val="20"/>
        </w:rPr>
        <w:t>Στην περίπτωση εφαρμογής του ( ενδεικτικού ) σχεδίου 1, πέραν του κουβουκλίου ( μέγιστες διαστάσεις 2,5μ Χ 2,5μ ) επιτρέπεται η τοποθέτηση κινητού προστεγάσματος ( τέντα) με στήριξη μόνο επάνω στο περίπτερο, χωρίς κατακόρυφα στηρίγματα, η οποία να προεξέχει το μέγιστο 1,30 μέτρα σε οριζόντια προβολή από αυτό. Όλα τα ψυγεία, κ.τ.λ., θα πρέπει να εφάπτονται του περιπτέρου.</w:t>
      </w:r>
    </w:p>
    <w:p w14:paraId="6D032D80">
      <w:pPr>
        <w:jc w:val="both"/>
        <w:rPr>
          <w:rFonts w:ascii="Verdana" w:hAnsi="Verdana"/>
          <w:sz w:val="20"/>
          <w:szCs w:val="20"/>
        </w:rPr>
      </w:pPr>
      <w:r>
        <w:rPr>
          <w:rFonts w:ascii="Verdana" w:hAnsi="Verdana"/>
          <w:sz w:val="20"/>
          <w:szCs w:val="20"/>
        </w:rPr>
        <w:t xml:space="preserve">Στην περίπτωση εφαρμογής του ( ενδεικτικού ) σχεδίου 2 :  Ο συνολικός χώρος κατάληψης κάθε περιπτέρου μπορεί να είναι μέχρι 23,00τ.μ.  Η τέντα  μπορεί να προεξέχει έως 0,80 μ.  Για περίπτερα που βρίσκονται μπροστά από τις προσόψεις καταστημάτων ή γενικότερα εμποδίζουν την θέα προς τους υπόλοιπους κοινόχρηστους χώρους θα πρέπει να προτιμάται ο τύπος του σχεδίου 1. </w:t>
      </w:r>
    </w:p>
    <w:p w14:paraId="7B3E8DEF">
      <w:pPr>
        <w:jc w:val="both"/>
        <w:rPr>
          <w:rFonts w:ascii="Verdana" w:hAnsi="Verdana"/>
          <w:sz w:val="20"/>
          <w:szCs w:val="20"/>
        </w:rPr>
      </w:pPr>
      <w:r>
        <w:rPr>
          <w:rFonts w:ascii="Verdana" w:hAnsi="Verdana"/>
          <w:sz w:val="20"/>
          <w:szCs w:val="20"/>
        </w:rPr>
        <w:t>Όλα τα ψυγεία, κ.τ.λ, θα πρέπει να περιλαμβάνονται στο στέγαστρο του περιπτέρου που έχει διαστάσεις 2,5μ. Χ (μέγιστο ) 3,00μ. με τρόπο που δεν θα εμποδίζει την διαμπερή κυκλοφορία των πεζών. Τις ώρες μη λειτουργίας του περιπτέρου, επιτρέπεται η προστασία του κουβουκλίου και του στεγάστρου του περιπτέρου με ομοιόμορφα μεταλλικά ρολά με περσίδες.</w:t>
      </w:r>
    </w:p>
    <w:p w14:paraId="13148762">
      <w:pPr>
        <w:jc w:val="both"/>
        <w:rPr>
          <w:rFonts w:ascii="Verdana" w:hAnsi="Verdana"/>
          <w:sz w:val="20"/>
          <w:szCs w:val="20"/>
        </w:rPr>
      </w:pPr>
      <w:r>
        <w:rPr>
          <w:rFonts w:ascii="Verdana" w:hAnsi="Verdana"/>
          <w:sz w:val="20"/>
          <w:szCs w:val="20"/>
        </w:rPr>
        <w:t>Για τα νέα περίπτερα θα ακολουθείται το σχέδιο 1 ή το σχέδιο 2α, τα οποία αποτυπώνονται  στην υπ΄ αριθμ. 264/2015  Κανονιστικής  Απόφασης του Δήμου  Λεβαδέων.</w:t>
      </w:r>
    </w:p>
    <w:p w14:paraId="60B66C3F">
      <w:pPr>
        <w:jc w:val="both"/>
        <w:rPr>
          <w:rFonts w:ascii="Verdana" w:hAnsi="Verdana"/>
          <w:sz w:val="20"/>
          <w:szCs w:val="20"/>
        </w:rPr>
      </w:pPr>
      <w:r>
        <w:rPr>
          <w:rFonts w:ascii="Verdana" w:hAnsi="Verdana"/>
          <w:sz w:val="20"/>
          <w:szCs w:val="20"/>
        </w:rPr>
        <w:t>Σε περίπτωση μη συμμόρφωσης με όσα  αναφέρονται στον Κανονισμό Λειτουργίας Περιπτέρων, η άδεια λειτουργίας του περιπτέρου αφαιρείται ενώ το περίπτερο κατεδαφίζεται.</w:t>
      </w:r>
    </w:p>
    <w:p w14:paraId="6712EA17">
      <w:pPr>
        <w:jc w:val="both"/>
        <w:rPr>
          <w:rFonts w:ascii="Verdana" w:hAnsi="Verdana"/>
          <w:sz w:val="20"/>
          <w:szCs w:val="20"/>
        </w:rPr>
      </w:pPr>
      <w:r>
        <w:rPr>
          <w:rFonts w:ascii="Verdana" w:hAnsi="Verdana"/>
          <w:sz w:val="20"/>
          <w:szCs w:val="20"/>
        </w:rPr>
        <w:t>Η δαπάνη κατασκευής του περιπτέρου βαρύνει τον πλειοδότη, ο οποίος υποχρεούται εντός τεσσάρων ( 4) μηνών από την υπογραφή του συμφωνητικού να τοποθετήσει το περίπτερο.</w:t>
      </w:r>
    </w:p>
    <w:p w14:paraId="3D4B4F49">
      <w:pPr>
        <w:jc w:val="both"/>
        <w:rPr>
          <w:rFonts w:ascii="Verdana" w:hAnsi="Verdana"/>
          <w:sz w:val="20"/>
          <w:szCs w:val="20"/>
        </w:rPr>
      </w:pPr>
      <w:r>
        <w:rPr>
          <w:rFonts w:ascii="Verdana" w:hAnsi="Verdana"/>
          <w:sz w:val="20"/>
          <w:szCs w:val="20"/>
        </w:rPr>
        <w:t>Αν το διάστημα αυτό παρέλθει άπρακτο το μισθωτήριο συμβόλαιο θεωρείται αυτοδικαίως άκυρο.</w:t>
      </w:r>
    </w:p>
    <w:p w14:paraId="3DB9C542">
      <w:pPr>
        <w:jc w:val="both"/>
        <w:rPr>
          <w:rFonts w:ascii="Verdana" w:hAnsi="Verdana"/>
          <w:sz w:val="20"/>
          <w:szCs w:val="20"/>
        </w:rPr>
      </w:pPr>
      <w:r>
        <w:rPr>
          <w:rFonts w:ascii="Verdana" w:hAnsi="Verdana"/>
          <w:sz w:val="20"/>
          <w:szCs w:val="20"/>
        </w:rPr>
        <w:t>Ο μισθωτής μετά τη λήξη της σύμβασης παραχώρησης  χρήσης δύναται να απομακρύνει το περίπτερο ή να το διαπραγματευτεί με το νέο μισθωτή που τυχόν υπάρξει. Επίσης οφείλει να παραδώσει σε καλή κατάσταση το χώρο, να αποκαταστήσει κάθε φθορά και βλάβη του χώρου καθώς επίσης θα έχει υποχρεωτικά εξοφλήσει κάθε είδους οφειλές που αφορούν καθ΄ οιονδήποτε τρόπο το μίσθιο.</w:t>
      </w:r>
    </w:p>
    <w:p w14:paraId="38A48A89">
      <w:pPr>
        <w:jc w:val="both"/>
        <w:rPr>
          <w:rFonts w:ascii="Verdana" w:hAnsi="Verdana"/>
          <w:sz w:val="20"/>
          <w:szCs w:val="20"/>
        </w:rPr>
      </w:pPr>
      <w:r>
        <w:rPr>
          <w:rFonts w:ascii="Verdana" w:hAnsi="Verdana"/>
          <w:sz w:val="20"/>
          <w:szCs w:val="20"/>
        </w:rPr>
        <w:t xml:space="preserve">                                                                   </w:t>
      </w:r>
    </w:p>
    <w:p w14:paraId="4166134F">
      <w:pPr>
        <w:jc w:val="both"/>
        <w:rPr>
          <w:rFonts w:ascii="Verdana" w:hAnsi="Verdana"/>
          <w:sz w:val="20"/>
          <w:szCs w:val="20"/>
        </w:rPr>
      </w:pPr>
      <w:r>
        <w:rPr>
          <w:rFonts w:ascii="Verdana" w:hAnsi="Verdana"/>
          <w:sz w:val="20"/>
          <w:szCs w:val="20"/>
        </w:rPr>
        <w:t xml:space="preserve">                                                                </w:t>
      </w:r>
      <w:r>
        <w:rPr>
          <w:rFonts w:ascii="Verdana" w:hAnsi="Verdana"/>
          <w:b/>
          <w:bCs/>
          <w:sz w:val="20"/>
          <w:szCs w:val="20"/>
        </w:rPr>
        <w:t>Άρθρο 20</w:t>
      </w:r>
    </w:p>
    <w:p w14:paraId="21F25EB1">
      <w:pPr>
        <w:jc w:val="both"/>
        <w:rPr>
          <w:rFonts w:ascii="Verdana" w:hAnsi="Verdana"/>
          <w:b/>
          <w:bCs/>
          <w:sz w:val="20"/>
          <w:szCs w:val="20"/>
        </w:rPr>
      </w:pPr>
      <w:r>
        <w:rPr>
          <w:rFonts w:ascii="Verdana" w:hAnsi="Verdana"/>
          <w:b/>
          <w:bCs/>
          <w:sz w:val="20"/>
          <w:szCs w:val="20"/>
        </w:rPr>
        <w:t xml:space="preserve">                                                            Έκπτωση Μισθωτή </w:t>
      </w:r>
    </w:p>
    <w:p w14:paraId="66C61B7B">
      <w:pPr>
        <w:jc w:val="both"/>
        <w:rPr>
          <w:rFonts w:ascii="Verdana" w:hAnsi="Verdana"/>
          <w:sz w:val="20"/>
          <w:szCs w:val="20"/>
        </w:rPr>
      </w:pPr>
      <w:r>
        <w:rPr>
          <w:rFonts w:ascii="Verdana" w:hAnsi="Verdana"/>
          <w:sz w:val="20"/>
          <w:szCs w:val="20"/>
        </w:rPr>
        <w:t>Η παράβαση κάθε όρου της παρούσας, οι οποίοι θεωρούνται όλοι ουσιώδεις, από τον μισθωτή, ανεξαρτήτως των μέτρων που λαμβάνονται σε βάρος του, σύμφωνα με την παρούσα, επιφέρει τη λύση της μίσθωσης και την αποβολή αυτού από το μίσθιο μετά τις νόμιμες σε βάρος του συνέπειες. Περί της έκπτωσης του μισθωτή αποφασίζει  το Δημοτικό Συμβουλίου του Δήμου Λεβαδέων.</w:t>
      </w:r>
    </w:p>
    <w:p w14:paraId="033F3F42">
      <w:pPr>
        <w:jc w:val="both"/>
        <w:rPr>
          <w:rFonts w:ascii="Verdana" w:hAnsi="Verdana"/>
          <w:sz w:val="20"/>
          <w:szCs w:val="20"/>
        </w:rPr>
      </w:pPr>
      <w:r>
        <w:rPr>
          <w:rFonts w:ascii="Verdana" w:hAnsi="Verdana"/>
          <w:sz w:val="20"/>
          <w:szCs w:val="20"/>
        </w:rPr>
        <w:t>Η εκ μέρους του εκμισθωτή σιωπηρή ανοχή παράβασης ή καταστρατήγησης των διατάξεων της παρούσας διακήρυξης, δεν λογίζεται ως έγκριση ή παραίτηση  δικαιώματος ή τροποποιήσεις της παρούσας μίσθωσης ούτε παρέχει κάποιο δικαίωμα στον μισθωτή.</w:t>
      </w:r>
    </w:p>
    <w:p w14:paraId="7080A0C0">
      <w:pPr>
        <w:jc w:val="both"/>
        <w:rPr>
          <w:rFonts w:ascii="Verdana" w:hAnsi="Verdana"/>
          <w:sz w:val="20"/>
          <w:szCs w:val="20"/>
        </w:rPr>
      </w:pPr>
      <w:r>
        <w:rPr>
          <w:rFonts w:ascii="Verdana" w:hAnsi="Verdana"/>
          <w:sz w:val="20"/>
          <w:szCs w:val="20"/>
        </w:rPr>
        <w:t>Η κήρυξη έκπτωτου   του μισθωτή έχει τις εξής συνέπειες :</w:t>
      </w:r>
    </w:p>
    <w:p w14:paraId="439E1ABB">
      <w:pPr>
        <w:jc w:val="both"/>
        <w:rPr>
          <w:rFonts w:ascii="Verdana" w:hAnsi="Verdana"/>
          <w:sz w:val="20"/>
          <w:szCs w:val="20"/>
        </w:rPr>
      </w:pPr>
      <w:r>
        <w:rPr>
          <w:rFonts w:ascii="Verdana" w:hAnsi="Verdana"/>
          <w:sz w:val="20"/>
          <w:szCs w:val="20"/>
        </w:rPr>
        <w:t>α) Εκπίπτει υπέρ του εκμισθωτή Δήμου Λεβαδέων η κατατεθείσα εγγύηση ως ποινική ρήτρα, μη υπολογιζόμενη στις τυχόν  οφειλές του έκπτωτου μισθωτή.</w:t>
      </w:r>
    </w:p>
    <w:p w14:paraId="6C8233EE">
      <w:pPr>
        <w:jc w:val="both"/>
        <w:rPr>
          <w:rFonts w:ascii="Verdana" w:hAnsi="Verdana"/>
          <w:sz w:val="20"/>
          <w:szCs w:val="20"/>
        </w:rPr>
      </w:pPr>
      <w:r>
        <w:rPr>
          <w:rFonts w:ascii="Verdana" w:hAnsi="Verdana"/>
          <w:sz w:val="20"/>
          <w:szCs w:val="20"/>
        </w:rPr>
        <w:t xml:space="preserve">β) Υποχρεούται ο μισθωτής να παραδώσει το μίσθιο εντός δέκα πέντε (15) ημερών από της κοινοποίησης σε αυτόν, την περί έκπτωσης απόφασης Δημοτικού Συμβουλίου. Σε περίπτωση καθυστέρησης ή άρνησης του, αποβάλλεται εκ του μισθίου, είτε διοικητικώς , είτε δια αποφάσεως του Εισαγγελέα, είτε δικαστικώς ή κατά τις διατάξεις περί απόδοσης  μισθίου του Κώδικα Πολιτικής  Δικονομίας. </w:t>
      </w:r>
    </w:p>
    <w:p w14:paraId="6A9DF0B6">
      <w:pPr>
        <w:jc w:val="both"/>
        <w:rPr>
          <w:rFonts w:ascii="Verdana" w:hAnsi="Verdana"/>
          <w:sz w:val="20"/>
          <w:szCs w:val="20"/>
        </w:rPr>
      </w:pPr>
    </w:p>
    <w:p w14:paraId="700F705E">
      <w:pPr>
        <w:jc w:val="center"/>
        <w:rPr>
          <w:rFonts w:ascii="Verdana" w:hAnsi="Verdana"/>
          <w:sz w:val="20"/>
          <w:szCs w:val="20"/>
        </w:rPr>
      </w:pPr>
      <w:r>
        <w:rPr>
          <w:rFonts w:ascii="Verdana" w:hAnsi="Verdana"/>
          <w:b/>
          <w:bCs/>
          <w:sz w:val="20"/>
          <w:szCs w:val="20"/>
        </w:rPr>
        <w:t>Άρθρο  21</w:t>
      </w:r>
      <w:r>
        <w:rPr>
          <w:rFonts w:ascii="Verdana" w:hAnsi="Verdana"/>
          <w:sz w:val="20"/>
          <w:szCs w:val="20"/>
        </w:rPr>
        <w:t xml:space="preserve">             </w:t>
      </w:r>
      <w:r>
        <w:rPr>
          <w:rFonts w:ascii="Verdana" w:hAnsi="Verdana"/>
          <w:b/>
          <w:bCs/>
          <w:sz w:val="20"/>
          <w:szCs w:val="20"/>
        </w:rPr>
        <w:t xml:space="preserve">         </w:t>
      </w:r>
    </w:p>
    <w:p w14:paraId="72FAA83F">
      <w:pPr>
        <w:jc w:val="center"/>
        <w:rPr>
          <w:rFonts w:ascii="Verdana" w:hAnsi="Verdana"/>
          <w:b/>
          <w:bCs/>
          <w:sz w:val="20"/>
          <w:szCs w:val="20"/>
        </w:rPr>
      </w:pPr>
      <w:r>
        <w:rPr>
          <w:rFonts w:ascii="Verdana" w:hAnsi="Verdana"/>
          <w:b/>
          <w:bCs/>
          <w:sz w:val="20"/>
          <w:szCs w:val="20"/>
        </w:rPr>
        <w:t xml:space="preserve">Δημοσίευση Διακήρυξης </w:t>
      </w:r>
    </w:p>
    <w:p w14:paraId="7269AB54">
      <w:pPr>
        <w:jc w:val="both"/>
        <w:rPr>
          <w:rFonts w:ascii="Verdana" w:hAnsi="Verdana"/>
          <w:sz w:val="20"/>
          <w:szCs w:val="20"/>
        </w:rPr>
      </w:pPr>
      <w:r>
        <w:rPr>
          <w:rFonts w:ascii="Verdana" w:hAnsi="Verdana"/>
          <w:sz w:val="20"/>
          <w:szCs w:val="20"/>
        </w:rPr>
        <w:t>Η</w:t>
      </w:r>
      <w:r>
        <w:rPr>
          <w:rFonts w:hint="default" w:ascii="Verdana" w:hAnsi="Verdana"/>
          <w:sz w:val="20"/>
          <w:szCs w:val="20"/>
          <w:lang w:val="el-GR"/>
        </w:rPr>
        <w:t xml:space="preserve"> περίληψη</w:t>
      </w:r>
      <w:r>
        <w:rPr>
          <w:rFonts w:ascii="Verdana" w:hAnsi="Verdana"/>
          <w:sz w:val="20"/>
          <w:szCs w:val="20"/>
        </w:rPr>
        <w:t xml:space="preserve"> διακήρυξη</w:t>
      </w:r>
      <w:r>
        <w:rPr>
          <w:rFonts w:ascii="Verdana" w:hAnsi="Verdana"/>
          <w:sz w:val="20"/>
          <w:szCs w:val="20"/>
          <w:lang w:val="el-GR"/>
        </w:rPr>
        <w:t>ς</w:t>
      </w:r>
      <w:r>
        <w:rPr>
          <w:rFonts w:ascii="Verdana" w:hAnsi="Verdana"/>
          <w:sz w:val="20"/>
          <w:szCs w:val="20"/>
        </w:rPr>
        <w:t xml:space="preserve"> θα δημοσιευθεί με φροντίδα του Δημάρχου τουλάχιστον δέκα ημέρες</w:t>
      </w:r>
    </w:p>
    <w:p w14:paraId="508A61B5">
      <w:pPr>
        <w:jc w:val="both"/>
        <w:rPr>
          <w:rFonts w:ascii="Verdana" w:hAnsi="Verdana"/>
          <w:b/>
          <w:bCs/>
          <w:sz w:val="20"/>
          <w:szCs w:val="20"/>
        </w:rPr>
      </w:pPr>
      <w:r>
        <w:rPr>
          <w:rFonts w:ascii="Verdana" w:hAnsi="Verdana"/>
          <w:sz w:val="20"/>
          <w:szCs w:val="20"/>
        </w:rPr>
        <w:t>πριν από τη διενέργεια της δημοπρασίας στην ιστοσελίδα του Δήμου.</w:t>
      </w:r>
    </w:p>
    <w:p w14:paraId="1504CAD7">
      <w:pPr>
        <w:jc w:val="both"/>
        <w:rPr>
          <w:rFonts w:ascii="Verdana" w:hAnsi="Verdana"/>
          <w:sz w:val="20"/>
          <w:szCs w:val="20"/>
        </w:rPr>
      </w:pPr>
      <w:r>
        <w:rPr>
          <w:rFonts w:ascii="Verdana" w:hAnsi="Verdana"/>
          <w:sz w:val="20"/>
          <w:szCs w:val="20"/>
        </w:rPr>
        <w:t>Περίληψη της διακήρυξης  θα δημοσιευθεί στην ημερήσια νομαρχιακή εφημερίδα  “</w:t>
      </w:r>
      <w:r>
        <w:rPr>
          <w:rFonts w:ascii="Verdana" w:hAnsi="Verdana"/>
          <w:sz w:val="20"/>
          <w:szCs w:val="20"/>
          <w:lang w:val="el-GR"/>
        </w:rPr>
        <w:t>ΒΟΙΩΤΙΚΑ</w:t>
      </w:r>
      <w:r>
        <w:rPr>
          <w:rFonts w:hint="default" w:ascii="Verdana" w:hAnsi="Verdana"/>
          <w:sz w:val="20"/>
          <w:szCs w:val="20"/>
          <w:lang w:val="el-GR"/>
        </w:rPr>
        <w:t xml:space="preserve"> ΝΕΑ</w:t>
      </w:r>
      <w:r>
        <w:rPr>
          <w:rFonts w:ascii="Verdana" w:hAnsi="Verdana"/>
          <w:sz w:val="20"/>
          <w:szCs w:val="20"/>
        </w:rPr>
        <w:t xml:space="preserve">” και στην </w:t>
      </w:r>
      <w:r>
        <w:rPr>
          <w:rFonts w:ascii="Verdana" w:hAnsi="Verdana"/>
          <w:sz w:val="20"/>
          <w:szCs w:val="20"/>
          <w:lang w:val="el-GR"/>
        </w:rPr>
        <w:t>ημερήσια</w:t>
      </w:r>
      <w:r>
        <w:rPr>
          <w:rFonts w:ascii="Verdana" w:hAnsi="Verdana"/>
          <w:sz w:val="20"/>
          <w:szCs w:val="20"/>
        </w:rPr>
        <w:t xml:space="preserve"> νομαρχιακή εφημερίδα “</w:t>
      </w:r>
      <w:r>
        <w:rPr>
          <w:rFonts w:ascii="Verdana" w:hAnsi="Verdana"/>
          <w:sz w:val="20"/>
          <w:szCs w:val="20"/>
          <w:lang w:val="el-GR"/>
        </w:rPr>
        <w:t>ΣΚΥΤΑΛΗ</w:t>
      </w:r>
      <w:r>
        <w:rPr>
          <w:rFonts w:hint="default" w:ascii="Verdana" w:hAnsi="Verdana"/>
          <w:sz w:val="20"/>
          <w:szCs w:val="20"/>
          <w:lang w:val="el-GR"/>
        </w:rPr>
        <w:t>” σύμφωνα με το άρθρο 3 του Ν.3548/2007 καθώς επίσης και με το άρθρο 134 του Ν</w:t>
      </w:r>
      <w:r>
        <w:rPr>
          <w:rFonts w:ascii="Verdana" w:hAnsi="Verdana"/>
          <w:sz w:val="20"/>
          <w:szCs w:val="20"/>
        </w:rPr>
        <w:t>.</w:t>
      </w:r>
      <w:r>
        <w:rPr>
          <w:rFonts w:hint="default" w:ascii="Verdana" w:hAnsi="Verdana"/>
          <w:sz w:val="20"/>
          <w:szCs w:val="20"/>
          <w:lang w:val="el-GR"/>
        </w:rPr>
        <w:t>5314/2026.</w:t>
      </w:r>
      <w:r>
        <w:rPr>
          <w:rFonts w:ascii="Verdana" w:hAnsi="Verdana"/>
          <w:b/>
          <w:bCs/>
          <w:sz w:val="20"/>
          <w:szCs w:val="20"/>
        </w:rPr>
        <w:t xml:space="preserve">                                                              </w:t>
      </w:r>
    </w:p>
    <w:p w14:paraId="4EA63CEA">
      <w:pPr>
        <w:jc w:val="both"/>
        <w:rPr>
          <w:rFonts w:ascii="Verdana" w:hAnsi="Verdana"/>
          <w:bCs/>
          <w:sz w:val="20"/>
          <w:szCs w:val="20"/>
        </w:rPr>
      </w:pPr>
      <w:r>
        <w:rPr>
          <w:rFonts w:ascii="Verdana" w:hAnsi="Verdana"/>
          <w:bCs/>
          <w:sz w:val="20"/>
          <w:szCs w:val="20"/>
        </w:rPr>
        <w:t>Τα έξοδα δημοσίευσης επιβαρύνουν τον ανάδοχο.</w:t>
      </w:r>
    </w:p>
    <w:p w14:paraId="18C23C2C">
      <w:pPr>
        <w:jc w:val="center"/>
        <w:rPr>
          <w:rFonts w:ascii="Verdana" w:hAnsi="Verdana"/>
          <w:b/>
          <w:bCs/>
          <w:sz w:val="20"/>
          <w:szCs w:val="20"/>
        </w:rPr>
      </w:pPr>
    </w:p>
    <w:p w14:paraId="0E89F143">
      <w:pPr>
        <w:jc w:val="center"/>
        <w:rPr>
          <w:rFonts w:hint="default" w:ascii="Verdana" w:hAnsi="Verdana"/>
          <w:sz w:val="20"/>
          <w:szCs w:val="20"/>
          <w:lang w:val="el-GR"/>
        </w:rPr>
      </w:pPr>
      <w:r>
        <w:rPr>
          <w:rFonts w:ascii="Verdana" w:hAnsi="Verdana"/>
          <w:b/>
          <w:bCs/>
          <w:sz w:val="20"/>
          <w:szCs w:val="20"/>
        </w:rPr>
        <w:t>Άρθρο 2</w:t>
      </w:r>
      <w:r>
        <w:rPr>
          <w:rFonts w:hint="default" w:ascii="Verdana" w:hAnsi="Verdana"/>
          <w:b/>
          <w:bCs/>
          <w:sz w:val="20"/>
          <w:szCs w:val="20"/>
          <w:lang w:val="el-GR"/>
        </w:rPr>
        <w:t>2</w:t>
      </w:r>
    </w:p>
    <w:p w14:paraId="462620AF">
      <w:pPr>
        <w:jc w:val="center"/>
        <w:rPr>
          <w:rFonts w:ascii="Verdana" w:hAnsi="Verdana"/>
          <w:b/>
          <w:bCs/>
          <w:sz w:val="20"/>
          <w:szCs w:val="20"/>
        </w:rPr>
      </w:pPr>
      <w:r>
        <w:rPr>
          <w:rFonts w:ascii="Verdana" w:hAnsi="Verdana"/>
          <w:b/>
          <w:bCs/>
          <w:sz w:val="20"/>
          <w:szCs w:val="20"/>
        </w:rPr>
        <w:t>Επανάληψη της δημοπρασίας</w:t>
      </w:r>
    </w:p>
    <w:p w14:paraId="110CFC53">
      <w:pPr>
        <w:jc w:val="both"/>
        <w:rPr>
          <w:rFonts w:ascii="Verdana" w:hAnsi="Verdana"/>
          <w:sz w:val="20"/>
          <w:szCs w:val="20"/>
        </w:rPr>
      </w:pPr>
      <w:r>
        <w:rPr>
          <w:rFonts w:ascii="Verdana" w:hAnsi="Verdana"/>
          <w:sz w:val="20"/>
          <w:szCs w:val="20"/>
        </w:rPr>
        <w:t>Η δημοπρασία επαναλαμβάνεται οίκοθεν από τον Δήμαρχο εάν δεν παρουσιάσθηκε κατ΄ αυτήν πλειοδότης.</w:t>
      </w:r>
    </w:p>
    <w:p w14:paraId="1189F700">
      <w:pPr>
        <w:jc w:val="both"/>
        <w:rPr>
          <w:rFonts w:ascii="Verdana" w:hAnsi="Verdana"/>
          <w:sz w:val="20"/>
          <w:szCs w:val="20"/>
        </w:rPr>
      </w:pPr>
      <w:r>
        <w:rPr>
          <w:rFonts w:ascii="Verdana" w:hAnsi="Verdana"/>
          <w:sz w:val="20"/>
          <w:szCs w:val="20"/>
        </w:rPr>
        <w:t>Η δημοπρασία επαναλαμβάνεται κατόπιν αποφάσεως του Δημοτικού Συμβουλίου όταν :</w:t>
      </w:r>
    </w:p>
    <w:p w14:paraId="754388D9">
      <w:pPr>
        <w:jc w:val="both"/>
        <w:rPr>
          <w:rFonts w:ascii="Verdana" w:hAnsi="Verdana"/>
          <w:sz w:val="20"/>
          <w:szCs w:val="20"/>
        </w:rPr>
      </w:pPr>
      <w:r>
        <w:rPr>
          <w:rFonts w:ascii="Verdana" w:hAnsi="Verdana"/>
          <w:sz w:val="20"/>
          <w:szCs w:val="20"/>
        </w:rPr>
        <w:t xml:space="preserve">α) το αποτέλεσμα αυτής δεν εγκριθεί από την Δημοτική </w:t>
      </w:r>
      <w:r>
        <w:rPr>
          <w:rFonts w:ascii="Verdana" w:hAnsi="Verdana"/>
          <w:sz w:val="20"/>
          <w:szCs w:val="20"/>
          <w:lang w:val="el-GR"/>
        </w:rPr>
        <w:t>Ε</w:t>
      </w:r>
      <w:r>
        <w:rPr>
          <w:rFonts w:ascii="Verdana" w:hAnsi="Verdana"/>
          <w:sz w:val="20"/>
          <w:szCs w:val="20"/>
        </w:rPr>
        <w:t>πιτροπή ή το Δημοτικό Συμβούλιο ή την αρμόδια Διοικητική αρχή λόγω ασύμφορου του επιτευχθέντος αποτελέσματος ή σφάλματος  στη διενέργεια της δημοπρασίας.</w:t>
      </w:r>
    </w:p>
    <w:p w14:paraId="4B97460E">
      <w:pPr>
        <w:jc w:val="both"/>
        <w:rPr>
          <w:rFonts w:hint="default" w:ascii="Verdana" w:hAnsi="Verdana"/>
          <w:sz w:val="20"/>
          <w:szCs w:val="20"/>
          <w:lang w:val="el-GR"/>
        </w:rPr>
      </w:pPr>
      <w:r>
        <w:rPr>
          <w:rFonts w:hint="default" w:ascii="Verdana" w:hAnsi="Verdana"/>
          <w:sz w:val="20"/>
          <w:szCs w:val="20"/>
          <w:lang w:val="el-GR"/>
        </w:rPr>
        <w:t>β) εάν η περί κατακύρωση απόφαση ακυρωθεί για λόγους νομιμότητας.</w:t>
      </w:r>
    </w:p>
    <w:p w14:paraId="459BEFF4">
      <w:pPr>
        <w:jc w:val="both"/>
        <w:rPr>
          <w:rFonts w:ascii="Verdana" w:hAnsi="Verdana"/>
          <w:sz w:val="20"/>
          <w:szCs w:val="20"/>
        </w:rPr>
      </w:pPr>
      <w:r>
        <w:rPr>
          <w:rFonts w:ascii="Verdana" w:hAnsi="Verdana"/>
          <w:sz w:val="20"/>
          <w:szCs w:val="20"/>
          <w:lang w:val="el-GR"/>
        </w:rPr>
        <w:t>γ</w:t>
      </w:r>
      <w:r>
        <w:rPr>
          <w:rFonts w:ascii="Verdana" w:hAnsi="Verdana"/>
          <w:sz w:val="20"/>
          <w:szCs w:val="20"/>
        </w:rPr>
        <w:t>) μετά την κατακύρωση της δημοπρασίας, ο τελευταίος πλειοδότης και ο εγγυητής του αρνούνται  να υπογράψουν τα πρακτικά, ή τη σύμβαση μίσθωσης ,επίσης όταν  μετά την κοινοποίηση στον τελευταίο πλειοδότη της εγκριτικής επί του αποτελέσματος της δημοπρασίας αποφάσεως δεν προσέλθει αυτός εμπροθέσμως  για την σύνταξη και υπογραφή της σύμβασης.</w:t>
      </w:r>
    </w:p>
    <w:p w14:paraId="0028BF58">
      <w:pPr>
        <w:jc w:val="both"/>
        <w:rPr>
          <w:rFonts w:ascii="Verdana" w:hAnsi="Verdana"/>
          <w:sz w:val="20"/>
          <w:szCs w:val="20"/>
        </w:rPr>
      </w:pPr>
      <w:r>
        <w:rPr>
          <w:rFonts w:ascii="Verdana" w:hAnsi="Verdana"/>
          <w:sz w:val="20"/>
          <w:szCs w:val="20"/>
        </w:rPr>
        <w:t>Στην περίπτωση (β) η δημοπρασία, επαναλαμβάνεται εις βάρος του τελευταίου πλειοδότη και του εγγυητή αυτού, ως ελάχιστον δε όριο προσφοράς ορίζεται το επ΄ ονόματι  τούτου κατακυρωθέν ποσόν, δυνάμενο να μειωθεί με απόφαση του Δημοτικ</w:t>
      </w:r>
      <w:r>
        <w:rPr>
          <w:rFonts w:ascii="Verdana" w:hAnsi="Verdana"/>
          <w:sz w:val="20"/>
          <w:szCs w:val="20"/>
          <w:lang w:val="el-GR"/>
        </w:rPr>
        <w:t>ής</w:t>
      </w:r>
      <w:r>
        <w:rPr>
          <w:rFonts w:ascii="Verdana" w:hAnsi="Verdana"/>
          <w:sz w:val="20"/>
          <w:szCs w:val="20"/>
        </w:rPr>
        <w:t xml:space="preserve"> </w:t>
      </w:r>
      <w:r>
        <w:rPr>
          <w:rFonts w:ascii="Verdana" w:hAnsi="Verdana"/>
          <w:sz w:val="20"/>
          <w:szCs w:val="20"/>
          <w:lang w:val="el-GR"/>
        </w:rPr>
        <w:t>Επιτροπής</w:t>
      </w:r>
      <w:r>
        <w:rPr>
          <w:rFonts w:hint="default" w:ascii="Verdana" w:hAnsi="Verdana"/>
          <w:sz w:val="20"/>
          <w:szCs w:val="20"/>
          <w:lang w:val="el-GR"/>
        </w:rPr>
        <w:t>, αντίστοιχα, μέχρι δέκα τοις εκατό (10%)</w:t>
      </w:r>
      <w:r>
        <w:rPr>
          <w:rFonts w:ascii="Verdana" w:hAnsi="Verdana"/>
          <w:sz w:val="20"/>
          <w:szCs w:val="20"/>
        </w:rPr>
        <w:t>.</w:t>
      </w:r>
    </w:p>
    <w:p w14:paraId="09B2EAE2">
      <w:pPr>
        <w:jc w:val="both"/>
        <w:rPr>
          <w:rFonts w:hint="default" w:ascii="Verdana" w:hAnsi="Verdana"/>
          <w:sz w:val="20"/>
          <w:szCs w:val="20"/>
          <w:lang w:val="el-GR"/>
        </w:rPr>
      </w:pPr>
      <w:r>
        <w:rPr>
          <w:rFonts w:ascii="Verdana" w:hAnsi="Verdana"/>
          <w:sz w:val="20"/>
          <w:szCs w:val="20"/>
          <w:lang w:val="el-GR"/>
        </w:rPr>
        <w:t>Στην</w:t>
      </w:r>
      <w:r>
        <w:rPr>
          <w:rFonts w:hint="default" w:ascii="Verdana" w:hAnsi="Verdana"/>
          <w:sz w:val="20"/>
          <w:szCs w:val="20"/>
          <w:lang w:val="el-GR"/>
        </w:rPr>
        <w:t xml:space="preserve"> περίπτωση γ) επιτρέπεται, με αιτιολογημένη απόφαση του οικείου συμβουλίου, για λόγους δημοσίου συμφέροντος και ιδίως όταν η αξία του ακινήτου είναι μικρή, να καλείται ο δεύτερος κατά σειρά πλειοδότης για την υπογραφή της σύμβασης, εάν θέλει με την τιμή της προσφοράς του.</w:t>
      </w:r>
    </w:p>
    <w:p w14:paraId="5198D2ED">
      <w:pPr>
        <w:jc w:val="both"/>
        <w:rPr>
          <w:rFonts w:ascii="Verdana" w:hAnsi="Verdana"/>
          <w:sz w:val="20"/>
          <w:szCs w:val="20"/>
        </w:rPr>
      </w:pPr>
      <w:r>
        <w:rPr>
          <w:rFonts w:ascii="Verdana" w:hAnsi="Verdana"/>
          <w:sz w:val="20"/>
          <w:szCs w:val="20"/>
        </w:rPr>
        <w:t>Η επαναληπτική  δημοπρασία γνωστοποιείται με περιληπτική διακήρυξη του Δημάρχου  αναφερόμενη στους όρους της πρώτης διακήρυξης και δημοσίευσης, πέντε (5) τουλάχιστον ημέρας προ της ημέρας της διενέργειας της δημοπρασίας, διεξάγεται δε σύμφωνα με τα όσα αναφέρθηκαν.</w:t>
      </w:r>
    </w:p>
    <w:p w14:paraId="130B8938">
      <w:pPr>
        <w:jc w:val="both"/>
        <w:rPr>
          <w:rFonts w:ascii="Verdana" w:hAnsi="Verdana"/>
          <w:sz w:val="20"/>
          <w:szCs w:val="20"/>
        </w:rPr>
      </w:pPr>
      <w:r>
        <w:rPr>
          <w:rFonts w:ascii="Verdana" w:hAnsi="Verdana"/>
          <w:sz w:val="20"/>
          <w:szCs w:val="20"/>
        </w:rPr>
        <w:t>Η επανάληψη της δημοπρασίας ενεργείται με βάση τη δοθείσα τελευταία προσφορά κατά την προηγούμενη δημοπρασία.</w:t>
      </w:r>
    </w:p>
    <w:p w14:paraId="3EEA3488">
      <w:pPr>
        <w:jc w:val="both"/>
        <w:rPr>
          <w:rFonts w:ascii="Verdana" w:hAnsi="Verdana"/>
          <w:sz w:val="20"/>
          <w:szCs w:val="20"/>
        </w:rPr>
      </w:pPr>
    </w:p>
    <w:p w14:paraId="6612B38B">
      <w:pPr>
        <w:jc w:val="both"/>
        <w:rPr>
          <w:rFonts w:ascii="Verdana" w:hAnsi="Verdana"/>
          <w:sz w:val="20"/>
          <w:szCs w:val="20"/>
        </w:rPr>
      </w:pPr>
    </w:p>
    <w:p w14:paraId="49229934">
      <w:pPr>
        <w:jc w:val="both"/>
        <w:rPr>
          <w:rFonts w:ascii="Verdana" w:hAnsi="Verdana"/>
          <w:sz w:val="20"/>
          <w:szCs w:val="20"/>
        </w:rPr>
      </w:pPr>
    </w:p>
    <w:p w14:paraId="50686F5A">
      <w:pPr>
        <w:jc w:val="both"/>
        <w:rPr>
          <w:rFonts w:ascii="Verdana" w:hAnsi="Verdana"/>
          <w:sz w:val="20"/>
          <w:szCs w:val="20"/>
        </w:rPr>
      </w:pPr>
    </w:p>
    <w:p w14:paraId="138D2DF4">
      <w:pPr>
        <w:jc w:val="center"/>
        <w:rPr>
          <w:rFonts w:hint="default" w:ascii="Verdana" w:hAnsi="Verdana"/>
          <w:sz w:val="20"/>
          <w:szCs w:val="20"/>
          <w:lang w:val="el-GR"/>
        </w:rPr>
      </w:pPr>
      <w:r>
        <w:rPr>
          <w:rFonts w:ascii="Verdana" w:hAnsi="Verdana"/>
          <w:b/>
          <w:bCs/>
          <w:sz w:val="20"/>
          <w:szCs w:val="20"/>
        </w:rPr>
        <w:t>Άρθρο 2</w:t>
      </w:r>
      <w:r>
        <w:rPr>
          <w:rFonts w:hint="default" w:ascii="Verdana" w:hAnsi="Verdana"/>
          <w:b/>
          <w:bCs/>
          <w:sz w:val="20"/>
          <w:szCs w:val="20"/>
          <w:lang w:val="el-GR"/>
        </w:rPr>
        <w:t xml:space="preserve">3 </w:t>
      </w:r>
    </w:p>
    <w:p w14:paraId="260BE9A6">
      <w:pPr>
        <w:jc w:val="center"/>
        <w:rPr>
          <w:rFonts w:ascii="Verdana" w:hAnsi="Verdana"/>
          <w:b/>
          <w:bCs/>
          <w:sz w:val="20"/>
          <w:szCs w:val="20"/>
        </w:rPr>
      </w:pPr>
      <w:r>
        <w:rPr>
          <w:rFonts w:ascii="Verdana" w:hAnsi="Verdana"/>
          <w:b/>
          <w:bCs/>
          <w:sz w:val="20"/>
          <w:szCs w:val="20"/>
        </w:rPr>
        <w:t>Πληροφόρηση ενδιαφερομένων</w:t>
      </w:r>
    </w:p>
    <w:p w14:paraId="38761851">
      <w:pPr>
        <w:jc w:val="both"/>
        <w:rPr>
          <w:rFonts w:ascii="Verdana" w:hAnsi="Verdana"/>
          <w:sz w:val="20"/>
          <w:szCs w:val="20"/>
        </w:rPr>
      </w:pPr>
      <w:r>
        <w:rPr>
          <w:rFonts w:ascii="Verdana" w:hAnsi="Verdana"/>
          <w:sz w:val="20"/>
          <w:szCs w:val="20"/>
        </w:rPr>
        <w:t>Πληροφορίες και αντίγραφα της διακήρυξης της δημοπρασίας παρέχονται τις εργάσιμες ημέρες και ώρες 08.00 π.μ. έως 14.30 μ.μ. από το Τμήμα Εσόδων  &amp; Περιουσίας του Δήμου Λεβαδέων, Τηλέφωνα 2261350877, 2261350878 &amp; 226135088</w:t>
      </w:r>
      <w:r>
        <w:rPr>
          <w:rFonts w:hint="default" w:ascii="Verdana" w:hAnsi="Verdana"/>
          <w:sz w:val="20"/>
          <w:szCs w:val="20"/>
          <w:lang w:val="el-GR"/>
        </w:rPr>
        <w:t>3</w:t>
      </w:r>
      <w:r>
        <w:rPr>
          <w:rFonts w:ascii="Verdana" w:hAnsi="Verdana"/>
          <w:sz w:val="20"/>
          <w:szCs w:val="20"/>
        </w:rPr>
        <w:t>.</w:t>
      </w:r>
    </w:p>
    <w:p w14:paraId="21A72F55">
      <w:pPr>
        <w:jc w:val="both"/>
        <w:rPr>
          <w:rFonts w:ascii="Verdana" w:hAnsi="Verdana"/>
          <w:sz w:val="20"/>
          <w:szCs w:val="20"/>
        </w:rPr>
      </w:pPr>
    </w:p>
    <w:p w14:paraId="0850588D">
      <w:pPr>
        <w:jc w:val="both"/>
        <w:rPr>
          <w:rFonts w:ascii="Verdana" w:hAnsi="Verdana"/>
          <w:sz w:val="20"/>
          <w:szCs w:val="20"/>
        </w:rPr>
      </w:pPr>
    </w:p>
    <w:p w14:paraId="60FF127F">
      <w:pPr>
        <w:jc w:val="both"/>
        <w:rPr>
          <w:rFonts w:ascii="Verdana" w:hAnsi="Verdana"/>
          <w:sz w:val="20"/>
          <w:szCs w:val="20"/>
        </w:rPr>
      </w:pPr>
      <w:r>
        <w:rPr>
          <w:rFonts w:ascii="Verdana" w:hAnsi="Verdana"/>
          <w:sz w:val="20"/>
          <w:szCs w:val="20"/>
        </w:rPr>
        <w:t xml:space="preserve">                               </w:t>
      </w:r>
    </w:p>
    <w:p w14:paraId="79EE24FB">
      <w:pPr>
        <w:jc w:val="both"/>
        <w:rPr>
          <w:rFonts w:ascii="Verdana" w:hAnsi="Verdana"/>
          <w:sz w:val="20"/>
          <w:szCs w:val="20"/>
        </w:rPr>
      </w:pPr>
      <w:r>
        <w:rPr>
          <w:rFonts w:ascii="Verdana" w:hAnsi="Verdana"/>
          <w:sz w:val="20"/>
          <w:szCs w:val="20"/>
        </w:rPr>
        <w:t xml:space="preserve"> </w:t>
      </w:r>
    </w:p>
    <w:p w14:paraId="229DE48D">
      <w:pPr>
        <w:jc w:val="both"/>
        <w:rPr>
          <w:rFonts w:ascii="Verdana" w:hAnsi="Verdana"/>
          <w:sz w:val="20"/>
          <w:szCs w:val="20"/>
        </w:rPr>
      </w:pPr>
      <w:r>
        <w:rPr>
          <w:rFonts w:ascii="Verdana" w:hAnsi="Verdana"/>
          <w:sz w:val="20"/>
          <w:szCs w:val="20"/>
        </w:rPr>
        <w:t xml:space="preserve">                                                                               </w:t>
      </w:r>
      <w:r>
        <w:rPr>
          <w:rFonts w:ascii="Verdana" w:hAnsi="Verdana"/>
          <w:b/>
          <w:bCs/>
          <w:sz w:val="20"/>
          <w:szCs w:val="20"/>
        </w:rPr>
        <w:t>Ο ΔΗΜΑΡΧΟΣ  ΛΕΒΑΔΕΩΝ</w:t>
      </w:r>
    </w:p>
    <w:p w14:paraId="4E8A0EAE">
      <w:pPr>
        <w:jc w:val="both"/>
        <w:rPr>
          <w:rFonts w:ascii="Verdana" w:hAnsi="Verdana"/>
          <w:b/>
          <w:bCs/>
          <w:sz w:val="20"/>
          <w:szCs w:val="20"/>
        </w:rPr>
      </w:pPr>
    </w:p>
    <w:p w14:paraId="5C67B31E">
      <w:pPr>
        <w:jc w:val="both"/>
        <w:rPr>
          <w:rFonts w:ascii="Verdana" w:hAnsi="Verdana"/>
          <w:b/>
          <w:bCs/>
          <w:sz w:val="20"/>
          <w:szCs w:val="20"/>
        </w:rPr>
      </w:pPr>
    </w:p>
    <w:p w14:paraId="554229B1">
      <w:pPr>
        <w:jc w:val="both"/>
        <w:rPr>
          <w:rFonts w:ascii="Verdana" w:hAnsi="Verdana"/>
          <w:b/>
          <w:bCs/>
          <w:sz w:val="20"/>
          <w:szCs w:val="20"/>
        </w:rPr>
      </w:pPr>
      <w:r>
        <w:rPr>
          <w:rFonts w:ascii="Verdana" w:hAnsi="Verdana"/>
          <w:b/>
          <w:bCs/>
          <w:sz w:val="20"/>
          <w:szCs w:val="20"/>
        </w:rPr>
        <w:t xml:space="preserve">                                                                                ΚΑΡΑΜΑΝΗΣ Κ. ΔΗΜΗΤΡΙΟΣ</w:t>
      </w:r>
    </w:p>
    <w:p w14:paraId="63134596">
      <w:pPr>
        <w:jc w:val="both"/>
        <w:rPr>
          <w:rFonts w:ascii="Verdana" w:hAnsi="Verdana"/>
          <w:b/>
          <w:bCs/>
          <w:sz w:val="20"/>
          <w:szCs w:val="20"/>
        </w:rPr>
      </w:pPr>
      <w:r>
        <w:rPr>
          <w:rFonts w:ascii="Verdana" w:hAnsi="Verdana"/>
          <w:b/>
          <w:bCs/>
          <w:sz w:val="20"/>
          <w:szCs w:val="20"/>
        </w:rPr>
        <w:t xml:space="preserve">  </w:t>
      </w:r>
    </w:p>
    <w:p w14:paraId="7659E02B">
      <w:pPr>
        <w:jc w:val="both"/>
        <w:rPr>
          <w:rFonts w:ascii="Verdana" w:hAnsi="Verdana"/>
          <w:b/>
          <w:bCs/>
          <w:sz w:val="20"/>
          <w:szCs w:val="20"/>
        </w:rPr>
      </w:pPr>
      <w:r>
        <w:rPr>
          <w:rFonts w:ascii="Verdana" w:hAnsi="Verdana"/>
          <w:b/>
          <w:bCs/>
          <w:sz w:val="20"/>
          <w:szCs w:val="20"/>
        </w:rPr>
        <w:t xml:space="preserve">                                                             </w:t>
      </w:r>
    </w:p>
    <w:p w14:paraId="6B8415CB">
      <w:pPr>
        <w:jc w:val="both"/>
        <w:rPr>
          <w:rFonts w:ascii="Verdana" w:hAnsi="Verdana"/>
          <w:b/>
          <w:bCs/>
          <w:sz w:val="20"/>
          <w:szCs w:val="20"/>
        </w:rPr>
      </w:pPr>
    </w:p>
    <w:p w14:paraId="07AC88CA">
      <w:pPr>
        <w:jc w:val="both"/>
        <w:rPr>
          <w:rFonts w:ascii="Verdana" w:hAnsi="Verdana"/>
          <w:sz w:val="20"/>
          <w:szCs w:val="20"/>
        </w:rPr>
      </w:pPr>
    </w:p>
    <w:p w14:paraId="5F91BBF7">
      <w:pPr>
        <w:jc w:val="both"/>
        <w:rPr>
          <w:rFonts w:ascii="Verdana" w:hAnsi="Verdana"/>
          <w:sz w:val="20"/>
          <w:szCs w:val="20"/>
        </w:rPr>
      </w:pPr>
    </w:p>
    <w:p w14:paraId="34CB1AA8">
      <w:pPr>
        <w:jc w:val="both"/>
        <w:rPr>
          <w:rFonts w:ascii="Verdana" w:hAnsi="Verdana"/>
          <w:sz w:val="20"/>
          <w:szCs w:val="20"/>
        </w:rPr>
      </w:pPr>
    </w:p>
    <w:p w14:paraId="4578FA4A">
      <w:pPr>
        <w:jc w:val="both"/>
        <w:rPr>
          <w:rFonts w:ascii="Verdana" w:hAnsi="Verdana"/>
          <w:sz w:val="20"/>
          <w:szCs w:val="20"/>
        </w:rPr>
      </w:pPr>
    </w:p>
    <w:p w14:paraId="63F5A150">
      <w:pPr>
        <w:jc w:val="both"/>
        <w:rPr>
          <w:rFonts w:ascii="Verdana" w:hAnsi="Verdana"/>
          <w:sz w:val="20"/>
          <w:szCs w:val="20"/>
        </w:rPr>
      </w:pPr>
    </w:p>
    <w:p w14:paraId="1A3275E9">
      <w:pPr>
        <w:jc w:val="both"/>
        <w:rPr>
          <w:rFonts w:ascii="Verdana" w:hAnsi="Verdana"/>
          <w:sz w:val="20"/>
          <w:szCs w:val="20"/>
        </w:rPr>
      </w:pPr>
      <w:r>
        <w:rPr>
          <w:rFonts w:ascii="Verdana" w:hAnsi="Verdana"/>
          <w:sz w:val="20"/>
          <w:szCs w:val="20"/>
        </w:rPr>
        <w:t xml:space="preserve">                                                               </w:t>
      </w:r>
    </w:p>
    <w:p w14:paraId="3061ED7B">
      <w:pPr>
        <w:jc w:val="both"/>
        <w:rPr>
          <w:rFonts w:ascii="Verdana" w:hAnsi="Verdana"/>
          <w:sz w:val="20"/>
          <w:szCs w:val="20"/>
        </w:rPr>
      </w:pPr>
      <w:r>
        <w:rPr>
          <w:rFonts w:ascii="Verdana" w:hAnsi="Verdana"/>
          <w:sz w:val="20"/>
          <w:szCs w:val="20"/>
        </w:rPr>
        <w:t xml:space="preserve">                                                              </w:t>
      </w:r>
    </w:p>
    <w:p w14:paraId="398BD56E">
      <w:pPr>
        <w:jc w:val="both"/>
        <w:rPr>
          <w:rFonts w:ascii="Verdana" w:hAnsi="Verdana"/>
          <w:sz w:val="20"/>
          <w:szCs w:val="20"/>
        </w:rPr>
      </w:pPr>
      <w:r>
        <w:rPr>
          <w:rFonts w:ascii="Verdana" w:hAnsi="Verdana"/>
          <w:sz w:val="20"/>
          <w:szCs w:val="20"/>
        </w:rPr>
        <w:t xml:space="preserve"> </w:t>
      </w:r>
    </w:p>
    <w:p w14:paraId="6E944345">
      <w:pPr>
        <w:jc w:val="both"/>
        <w:rPr>
          <w:rFonts w:ascii="Verdana" w:hAnsi="Verdana"/>
          <w:sz w:val="20"/>
          <w:szCs w:val="20"/>
        </w:rPr>
      </w:pPr>
    </w:p>
    <w:p w14:paraId="6A755D38"/>
    <w:p w14:paraId="77EAA46B"/>
    <w:p w14:paraId="5F09BBD8"/>
    <w:p w14:paraId="24DED106">
      <w:r>
        <w:t xml:space="preserve">                                                    </w:t>
      </w:r>
    </w:p>
    <w:p w14:paraId="504EF1DA"/>
    <w:p w14:paraId="2D669B69"/>
    <w:p w14:paraId="75A520AD">
      <w:pPr>
        <w:rPr>
          <w:b/>
          <w:bCs/>
        </w:rPr>
      </w:pPr>
      <w:r>
        <w:rPr>
          <w:b/>
          <w:bCs/>
        </w:rPr>
        <w:t xml:space="preserve">                             </w:t>
      </w:r>
    </w:p>
    <w:sectPr>
      <w:headerReference r:id="rId3" w:type="default"/>
      <w:pgSz w:w="11906" w:h="16838"/>
      <w:pgMar w:top="1134" w:right="1134" w:bottom="1134" w:left="1134" w:header="720" w:footer="0" w:gutter="0"/>
      <w:cols w:space="720" w:num="1"/>
      <w:formProt w:val="0"/>
      <w:docGrid w:linePitch="312" w:charSpace="-614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Lucida Sans">
    <w:panose1 w:val="020B0602030504020204"/>
    <w:charset w:val="00"/>
    <w:family w:val="swiss"/>
    <w:pitch w:val="default"/>
    <w:sig w:usb0="00000003" w:usb1="00000000" w:usb2="00000000" w:usb3="00000000" w:csb0="20000001" w:csb1="00000000"/>
  </w:font>
  <w:font w:name="Liberation Serif">
    <w:panose1 w:val="02020603050405020304"/>
    <w:charset w:val="A1"/>
    <w:family w:val="roman"/>
    <w:pitch w:val="default"/>
    <w:sig w:usb0="E0000AFF" w:usb1="500078FF" w:usb2="00000021" w:usb3="00000000" w:csb0="600001BF" w:csb1="DFF70000"/>
  </w:font>
  <w:font w:name="NSimSun">
    <w:panose1 w:val="02010609030101010101"/>
    <w:charset w:val="86"/>
    <w:family w:val="modern"/>
    <w:pitch w:val="default"/>
    <w:sig w:usb0="00000203" w:usb1="288F0000" w:usb2="00000006" w:usb3="00000000" w:csb0="00040001" w:csb1="00000000"/>
  </w:font>
  <w:font w:name="Tahoma">
    <w:panose1 w:val="020B0604030504040204"/>
    <w:charset w:val="A1"/>
    <w:family w:val="swiss"/>
    <w:pitch w:val="default"/>
    <w:sig w:usb0="E1002EFF" w:usb1="C000605B" w:usb2="00000029" w:usb3="00000000" w:csb0="200101FF" w:csb1="20280000"/>
  </w:font>
  <w:font w:name="Mangal">
    <w:altName w:val="Liberation Mono"/>
    <w:panose1 w:val="00000400000000000000"/>
    <w:charset w:val="01"/>
    <w:family w:val="roman"/>
    <w:pitch w:val="default"/>
    <w:sig w:usb0="00000000" w:usb1="00000000" w:usb2="00000000" w:usb3="00000000" w:csb0="00000000" w:csb1="00000000"/>
  </w:font>
  <w:font w:name="Liberation Mono">
    <w:panose1 w:val="02070409020205020404"/>
    <w:charset w:val="00"/>
    <w:family w:val="auto"/>
    <w:pitch w:val="default"/>
    <w:sig w:usb0="E0000AFF" w:usb1="400078FF" w:usb2="00000001" w:usb3="00000000" w:csb0="600001BF" w:csb1="DFF70000"/>
  </w:font>
  <w:font w:name="Liberation Sans">
    <w:panose1 w:val="020B0604020202020204"/>
    <w:charset w:val="A1"/>
    <w:family w:val="swiss"/>
    <w:pitch w:val="default"/>
    <w:sig w:usb0="E0000AFF" w:usb1="500078FF" w:usb2="00000021" w:usb3="00000000" w:csb0="600001BF" w:csb1="DFF70000"/>
  </w:font>
  <w:font w:name="Microsoft YaHei">
    <w:panose1 w:val="020B0503020204020204"/>
    <w:charset w:val="86"/>
    <w:family w:val="swiss"/>
    <w:pitch w:val="default"/>
    <w:sig w:usb0="80000287" w:usb1="2ACF3C50" w:usb2="00000016" w:usb3="00000000" w:csb0="0004001F" w:csb1="00000000"/>
  </w:font>
  <w:font w:name="Cambria Math">
    <w:panose1 w:val="02040503050406030204"/>
    <w:charset w:val="A1"/>
    <w:family w:val="roman"/>
    <w:pitch w:val="default"/>
    <w:sig w:usb0="E00006FF" w:usb1="420024FF" w:usb2="02000000" w:usb3="00000000" w:csb0="2000019F" w:csb1="00000000"/>
  </w:font>
  <w:font w:name="Verdana">
    <w:panose1 w:val="020B0604030504040204"/>
    <w:charset w:val="A1"/>
    <w:family w:val="swiss"/>
    <w:pitch w:val="default"/>
    <w:sig w:usb0="A00006FF" w:usb1="4000205B" w:usb2="00000010" w:usb3="00000000" w:csb0="2000019F" w:csb1="00000000"/>
  </w:font>
  <w:font w:name="Symbol">
    <w:panose1 w:val="05050102010706020507"/>
    <w:charset w:val="02"/>
    <w:family w:val="roman"/>
    <w:pitch w:val="default"/>
    <w:sig w:usb0="00000000" w:usb1="00000000" w:usb2="00000000" w:usb3="00000000" w:csb0="80000000" w:csb1="00000000"/>
  </w:font>
  <w:font w:name="Arial Unicode MS">
    <w:panose1 w:val="020B0604020202020204"/>
    <w:charset w:val="86"/>
    <w:family w:val="auto"/>
    <w:pitch w:val="default"/>
    <w:sig w:usb0="FFFFFFFF" w:usb1="E9FFFFFF" w:usb2="0000003F" w:usb3="00000000" w:csb0="603F01FF" w:csb1="FFFF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5DED51">
    <w:pPr>
      <w:pStyle w:val="1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3"/>
    <w:multiLevelType w:val="singleLevel"/>
    <w:tmpl w:val="00000003"/>
    <w:lvl w:ilvl="0" w:tentative="0">
      <w:start w:val="1"/>
      <w:numFmt w:val="bullet"/>
      <w:lvlText w:val=""/>
      <w:lvlJc w:val="left"/>
      <w:pPr>
        <w:tabs>
          <w:tab w:val="left" w:pos="720"/>
        </w:tabs>
        <w:ind w:left="720" w:hanging="360"/>
      </w:pPr>
      <w:rPr>
        <w:rFonts w:ascii="Symbol" w:hAnsi="Symbol" w:cs="Symbol"/>
        <w:color w:val="000000"/>
        <w:sz w:val="20"/>
        <w:szCs w:val="20"/>
        <w:highlight w:val="whit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attachedTemplate r:id="rId1"/>
  <w:documentProtection w:enforcement="0"/>
  <w:defaultTabStop w:val="720"/>
  <w:autoHyphenation/>
  <w:characterSpacingControl w:val="doNotCompress"/>
  <w:compat>
    <w:compatSetting w:name="compatibilityMode" w:uri="http://schemas.microsoft.com/office/word" w:val="12"/>
  </w:compat>
  <w:rsids>
    <w:rsidRoot w:val="00631B14"/>
    <w:rsid w:val="000040C4"/>
    <w:rsid w:val="000067BA"/>
    <w:rsid w:val="000442D5"/>
    <w:rsid w:val="0005696E"/>
    <w:rsid w:val="000712AB"/>
    <w:rsid w:val="000765C2"/>
    <w:rsid w:val="00077194"/>
    <w:rsid w:val="000804CB"/>
    <w:rsid w:val="00080BB9"/>
    <w:rsid w:val="000860DE"/>
    <w:rsid w:val="000947B7"/>
    <w:rsid w:val="000B1F34"/>
    <w:rsid w:val="000C3AC8"/>
    <w:rsid w:val="000E1672"/>
    <w:rsid w:val="000F47BA"/>
    <w:rsid w:val="0013099B"/>
    <w:rsid w:val="00135367"/>
    <w:rsid w:val="0017175D"/>
    <w:rsid w:val="00192DDC"/>
    <w:rsid w:val="001D73E6"/>
    <w:rsid w:val="001E2326"/>
    <w:rsid w:val="001E5CC6"/>
    <w:rsid w:val="001F29CE"/>
    <w:rsid w:val="00205D7F"/>
    <w:rsid w:val="00214BDB"/>
    <w:rsid w:val="00263672"/>
    <w:rsid w:val="002E607A"/>
    <w:rsid w:val="002F06E7"/>
    <w:rsid w:val="002F0D84"/>
    <w:rsid w:val="002F66B3"/>
    <w:rsid w:val="003335DE"/>
    <w:rsid w:val="00341DC5"/>
    <w:rsid w:val="00343F09"/>
    <w:rsid w:val="00344761"/>
    <w:rsid w:val="00356A77"/>
    <w:rsid w:val="003670BD"/>
    <w:rsid w:val="00367F1B"/>
    <w:rsid w:val="003811C5"/>
    <w:rsid w:val="00383E4A"/>
    <w:rsid w:val="00384C13"/>
    <w:rsid w:val="003A05D5"/>
    <w:rsid w:val="003C3265"/>
    <w:rsid w:val="003D0A3D"/>
    <w:rsid w:val="003E2FF7"/>
    <w:rsid w:val="004031F1"/>
    <w:rsid w:val="004036A3"/>
    <w:rsid w:val="00412493"/>
    <w:rsid w:val="00412D34"/>
    <w:rsid w:val="0042083E"/>
    <w:rsid w:val="004249B1"/>
    <w:rsid w:val="00425135"/>
    <w:rsid w:val="0045167A"/>
    <w:rsid w:val="00462274"/>
    <w:rsid w:val="004A3C2A"/>
    <w:rsid w:val="004C472D"/>
    <w:rsid w:val="004E22B8"/>
    <w:rsid w:val="004E2E58"/>
    <w:rsid w:val="004F6680"/>
    <w:rsid w:val="0051374A"/>
    <w:rsid w:val="00524C46"/>
    <w:rsid w:val="005665C5"/>
    <w:rsid w:val="00573F1C"/>
    <w:rsid w:val="005B3D8D"/>
    <w:rsid w:val="005F15E9"/>
    <w:rsid w:val="006152E9"/>
    <w:rsid w:val="00615ACA"/>
    <w:rsid w:val="00615E21"/>
    <w:rsid w:val="00631B14"/>
    <w:rsid w:val="00635084"/>
    <w:rsid w:val="00637E86"/>
    <w:rsid w:val="00640A97"/>
    <w:rsid w:val="00646959"/>
    <w:rsid w:val="006701E2"/>
    <w:rsid w:val="00685AD6"/>
    <w:rsid w:val="006925EE"/>
    <w:rsid w:val="0069532D"/>
    <w:rsid w:val="006A7553"/>
    <w:rsid w:val="006B4850"/>
    <w:rsid w:val="006C57D8"/>
    <w:rsid w:val="006F0729"/>
    <w:rsid w:val="006F2D62"/>
    <w:rsid w:val="006F5884"/>
    <w:rsid w:val="0070237D"/>
    <w:rsid w:val="0071296B"/>
    <w:rsid w:val="007241C8"/>
    <w:rsid w:val="00735AB3"/>
    <w:rsid w:val="00741F89"/>
    <w:rsid w:val="00743B09"/>
    <w:rsid w:val="00745348"/>
    <w:rsid w:val="007458B7"/>
    <w:rsid w:val="007844C8"/>
    <w:rsid w:val="00805338"/>
    <w:rsid w:val="00863447"/>
    <w:rsid w:val="00870121"/>
    <w:rsid w:val="008813F7"/>
    <w:rsid w:val="008872EE"/>
    <w:rsid w:val="008C0C68"/>
    <w:rsid w:val="008D19F6"/>
    <w:rsid w:val="008D2B1F"/>
    <w:rsid w:val="008D3D6B"/>
    <w:rsid w:val="008E0E5C"/>
    <w:rsid w:val="008F53B8"/>
    <w:rsid w:val="00925710"/>
    <w:rsid w:val="009260A0"/>
    <w:rsid w:val="00930E4B"/>
    <w:rsid w:val="00971394"/>
    <w:rsid w:val="0099448A"/>
    <w:rsid w:val="009C13CE"/>
    <w:rsid w:val="009C5052"/>
    <w:rsid w:val="009D5357"/>
    <w:rsid w:val="009E22D8"/>
    <w:rsid w:val="00A05EBA"/>
    <w:rsid w:val="00A21CC1"/>
    <w:rsid w:val="00A227B0"/>
    <w:rsid w:val="00A33A83"/>
    <w:rsid w:val="00A34EC0"/>
    <w:rsid w:val="00A35B79"/>
    <w:rsid w:val="00A42FE7"/>
    <w:rsid w:val="00A516DE"/>
    <w:rsid w:val="00A642CD"/>
    <w:rsid w:val="00A64A6A"/>
    <w:rsid w:val="00A74B50"/>
    <w:rsid w:val="00A757D5"/>
    <w:rsid w:val="00A92494"/>
    <w:rsid w:val="00A97786"/>
    <w:rsid w:val="00AC2011"/>
    <w:rsid w:val="00AC256D"/>
    <w:rsid w:val="00AC5918"/>
    <w:rsid w:val="00AD24D8"/>
    <w:rsid w:val="00AD4A19"/>
    <w:rsid w:val="00AE6101"/>
    <w:rsid w:val="00B2246F"/>
    <w:rsid w:val="00B433E0"/>
    <w:rsid w:val="00B5116A"/>
    <w:rsid w:val="00B53CB0"/>
    <w:rsid w:val="00B73ABA"/>
    <w:rsid w:val="00B86874"/>
    <w:rsid w:val="00BA20D8"/>
    <w:rsid w:val="00BA36C0"/>
    <w:rsid w:val="00BF4376"/>
    <w:rsid w:val="00C059FF"/>
    <w:rsid w:val="00C15312"/>
    <w:rsid w:val="00C353DD"/>
    <w:rsid w:val="00C36E4C"/>
    <w:rsid w:val="00C416A7"/>
    <w:rsid w:val="00C72EAC"/>
    <w:rsid w:val="00C8284F"/>
    <w:rsid w:val="00C8380B"/>
    <w:rsid w:val="00C8441C"/>
    <w:rsid w:val="00C95E49"/>
    <w:rsid w:val="00CA15EF"/>
    <w:rsid w:val="00CB61A6"/>
    <w:rsid w:val="00CC15E5"/>
    <w:rsid w:val="00CC393C"/>
    <w:rsid w:val="00CE0024"/>
    <w:rsid w:val="00CE4785"/>
    <w:rsid w:val="00D051C8"/>
    <w:rsid w:val="00D24582"/>
    <w:rsid w:val="00D277D7"/>
    <w:rsid w:val="00D31DB3"/>
    <w:rsid w:val="00D40D06"/>
    <w:rsid w:val="00D52067"/>
    <w:rsid w:val="00D54F7F"/>
    <w:rsid w:val="00D56B68"/>
    <w:rsid w:val="00D72D4B"/>
    <w:rsid w:val="00D857C4"/>
    <w:rsid w:val="00D900A2"/>
    <w:rsid w:val="00D93A9F"/>
    <w:rsid w:val="00D9752F"/>
    <w:rsid w:val="00DC6923"/>
    <w:rsid w:val="00DF1F80"/>
    <w:rsid w:val="00E12D8C"/>
    <w:rsid w:val="00E14834"/>
    <w:rsid w:val="00E40AA3"/>
    <w:rsid w:val="00E67AB3"/>
    <w:rsid w:val="00E82467"/>
    <w:rsid w:val="00E97369"/>
    <w:rsid w:val="00EB6650"/>
    <w:rsid w:val="00EF6E08"/>
    <w:rsid w:val="00F02ABB"/>
    <w:rsid w:val="00F11AEC"/>
    <w:rsid w:val="00F33D7C"/>
    <w:rsid w:val="00F37492"/>
    <w:rsid w:val="00F92FFC"/>
    <w:rsid w:val="00F9536A"/>
    <w:rsid w:val="00FA4D78"/>
    <w:rsid w:val="00FB08F8"/>
    <w:rsid w:val="00FB1E26"/>
    <w:rsid w:val="00FB2EF3"/>
    <w:rsid w:val="00FF3C6D"/>
    <w:rsid w:val="00FF406E"/>
    <w:rsid w:val="00FF630B"/>
    <w:rsid w:val="011C61DD"/>
    <w:rsid w:val="04AD0A3B"/>
    <w:rsid w:val="04CB6A6F"/>
    <w:rsid w:val="05843DF1"/>
    <w:rsid w:val="069A2E4F"/>
    <w:rsid w:val="09A1206B"/>
    <w:rsid w:val="0A766BCC"/>
    <w:rsid w:val="0AB66FEF"/>
    <w:rsid w:val="0EDB1A22"/>
    <w:rsid w:val="12252451"/>
    <w:rsid w:val="1279575E"/>
    <w:rsid w:val="13CE1A91"/>
    <w:rsid w:val="14815B34"/>
    <w:rsid w:val="14A468E2"/>
    <w:rsid w:val="14D336C6"/>
    <w:rsid w:val="15F256EA"/>
    <w:rsid w:val="17110DE9"/>
    <w:rsid w:val="178F79B5"/>
    <w:rsid w:val="17CB79CC"/>
    <w:rsid w:val="18E82EF1"/>
    <w:rsid w:val="196F4647"/>
    <w:rsid w:val="19703303"/>
    <w:rsid w:val="1AE4651A"/>
    <w:rsid w:val="1AF225C5"/>
    <w:rsid w:val="1B4C72E3"/>
    <w:rsid w:val="1E873426"/>
    <w:rsid w:val="20834165"/>
    <w:rsid w:val="21656EF0"/>
    <w:rsid w:val="219029AA"/>
    <w:rsid w:val="243C7B16"/>
    <w:rsid w:val="2452545D"/>
    <w:rsid w:val="2487307B"/>
    <w:rsid w:val="26185B23"/>
    <w:rsid w:val="27952CFE"/>
    <w:rsid w:val="27C77332"/>
    <w:rsid w:val="2CE22AD3"/>
    <w:rsid w:val="2EB42D00"/>
    <w:rsid w:val="30FA0A66"/>
    <w:rsid w:val="32365A8C"/>
    <w:rsid w:val="32EA39FB"/>
    <w:rsid w:val="334A28B5"/>
    <w:rsid w:val="3444054E"/>
    <w:rsid w:val="373B7AC7"/>
    <w:rsid w:val="37763D8D"/>
    <w:rsid w:val="377C42D7"/>
    <w:rsid w:val="397B7C1A"/>
    <w:rsid w:val="3B6511A8"/>
    <w:rsid w:val="3D6A54CD"/>
    <w:rsid w:val="3DDA72CB"/>
    <w:rsid w:val="3F3106BC"/>
    <w:rsid w:val="43BC22CC"/>
    <w:rsid w:val="44F65ED4"/>
    <w:rsid w:val="45547366"/>
    <w:rsid w:val="45893771"/>
    <w:rsid w:val="460B117D"/>
    <w:rsid w:val="47E55DF4"/>
    <w:rsid w:val="486324CA"/>
    <w:rsid w:val="499D7C4A"/>
    <w:rsid w:val="4B0F7DB3"/>
    <w:rsid w:val="4B3C2EE9"/>
    <w:rsid w:val="4DD827C4"/>
    <w:rsid w:val="4F16626F"/>
    <w:rsid w:val="50344481"/>
    <w:rsid w:val="50914F3C"/>
    <w:rsid w:val="56BC326A"/>
    <w:rsid w:val="5C4C0527"/>
    <w:rsid w:val="5E5408F0"/>
    <w:rsid w:val="60266CCC"/>
    <w:rsid w:val="61790877"/>
    <w:rsid w:val="62BB4A4C"/>
    <w:rsid w:val="64737361"/>
    <w:rsid w:val="650877CF"/>
    <w:rsid w:val="660733AE"/>
    <w:rsid w:val="6C947344"/>
    <w:rsid w:val="6E2A6016"/>
    <w:rsid w:val="6E935777"/>
    <w:rsid w:val="708E3530"/>
    <w:rsid w:val="71125845"/>
    <w:rsid w:val="72186765"/>
    <w:rsid w:val="72913BF5"/>
    <w:rsid w:val="7340183B"/>
    <w:rsid w:val="73697499"/>
    <w:rsid w:val="76AE72CA"/>
    <w:rsid w:val="78AF561C"/>
    <w:rsid w:val="79AE528E"/>
    <w:rsid w:val="7A677670"/>
    <w:rsid w:val="7BBE21BB"/>
    <w:rsid w:val="7ECC17FA"/>
  </w:rsids>
  <m:mathPr>
    <m:mathFont m:val="Cambria Math"/>
    <m:brkBin m:val="before"/>
    <m:brkBinSub m:val="--"/>
    <m:smallFrac m:val="0"/>
    <m:dispDef/>
    <m:lMargin m:val="0"/>
    <m:rMargin m:val="0"/>
    <m:defJc m:val="centerGroup"/>
    <m:wrapIndent m:val="1440"/>
    <m:intLim m:val="subSup"/>
    <m:naryLim m:val="undOvr"/>
  </m:mathPr>
  <w:themeFontLang w:val="el-GR"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Liberation Serif" w:hAnsi="Liberation Serif" w:eastAsia="NSimSun" w:cs="Lucida Sans"/>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uppressAutoHyphens/>
    </w:pPr>
    <w:rPr>
      <w:rFonts w:ascii="Liberation Serif" w:hAnsi="Liberation Serif" w:eastAsia="NSimSun" w:cs="Lucida Sans"/>
      <w:kern w:val="2"/>
      <w:sz w:val="24"/>
      <w:szCs w:val="24"/>
      <w:lang w:val="el-GR" w:eastAsia="zh-CN" w:bidi="hi-IN"/>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15"/>
    <w:semiHidden/>
    <w:unhideWhenUsed/>
    <w:qFormat/>
    <w:uiPriority w:val="99"/>
    <w:rPr>
      <w:rFonts w:ascii="Tahoma" w:hAnsi="Tahoma" w:cs="Mangal"/>
      <w:sz w:val="16"/>
      <w:szCs w:val="14"/>
    </w:rPr>
  </w:style>
  <w:style w:type="paragraph" w:styleId="5">
    <w:name w:val="Body Text"/>
    <w:basedOn w:val="1"/>
    <w:qFormat/>
    <w:uiPriority w:val="0"/>
    <w:pPr>
      <w:spacing w:after="140" w:line="276" w:lineRule="auto"/>
    </w:pPr>
  </w:style>
  <w:style w:type="paragraph" w:styleId="6">
    <w:name w:val="List"/>
    <w:basedOn w:val="5"/>
    <w:qFormat/>
    <w:uiPriority w:val="0"/>
  </w:style>
  <w:style w:type="character" w:styleId="7">
    <w:name w:val="Strong"/>
    <w:qFormat/>
    <w:uiPriority w:val="0"/>
    <w:rPr>
      <w:b/>
    </w:rPr>
  </w:style>
  <w:style w:type="character" w:customStyle="1" w:styleId="8">
    <w:name w:val="Κεφαλίδα Char"/>
    <w:basedOn w:val="2"/>
    <w:qFormat/>
    <w:uiPriority w:val="0"/>
  </w:style>
  <w:style w:type="paragraph" w:customStyle="1" w:styleId="9">
    <w:name w:val="Επικεφαλίδα"/>
    <w:basedOn w:val="1"/>
    <w:next w:val="5"/>
    <w:qFormat/>
    <w:uiPriority w:val="0"/>
    <w:pPr>
      <w:keepNext/>
      <w:spacing w:before="240" w:after="120"/>
    </w:pPr>
    <w:rPr>
      <w:rFonts w:ascii="Liberation Sans" w:hAnsi="Liberation Sans" w:eastAsia="Microsoft YaHei"/>
      <w:sz w:val="28"/>
      <w:szCs w:val="28"/>
    </w:rPr>
  </w:style>
  <w:style w:type="paragraph" w:customStyle="1" w:styleId="10">
    <w:name w:val="Caption1"/>
    <w:basedOn w:val="1"/>
    <w:qFormat/>
    <w:uiPriority w:val="0"/>
    <w:pPr>
      <w:suppressLineNumbers/>
      <w:spacing w:before="120" w:after="120"/>
    </w:pPr>
    <w:rPr>
      <w:i/>
      <w:iCs/>
    </w:rPr>
  </w:style>
  <w:style w:type="paragraph" w:customStyle="1" w:styleId="11">
    <w:name w:val="Ευρετήριο"/>
    <w:basedOn w:val="1"/>
    <w:qFormat/>
    <w:uiPriority w:val="0"/>
    <w:pPr>
      <w:suppressLineNumbers/>
    </w:pPr>
  </w:style>
  <w:style w:type="paragraph" w:customStyle="1" w:styleId="12">
    <w:name w:val="DocumentMap"/>
    <w:qFormat/>
    <w:uiPriority w:val="0"/>
    <w:pPr>
      <w:suppressAutoHyphens/>
    </w:pPr>
    <w:rPr>
      <w:rFonts w:ascii="Times New Roman" w:hAnsi="Times New Roman" w:eastAsia="Cambria Math" w:cs="Times New Roman"/>
      <w:kern w:val="2"/>
      <w:sz w:val="20"/>
      <w:szCs w:val="20"/>
      <w:lang w:val="el-GR" w:eastAsia="el-GR" w:bidi="ar-SA"/>
    </w:rPr>
  </w:style>
  <w:style w:type="paragraph" w:customStyle="1" w:styleId="13">
    <w:name w:val="Κεφαλίδα και υποσέλιδο"/>
    <w:basedOn w:val="1"/>
    <w:qFormat/>
    <w:uiPriority w:val="0"/>
  </w:style>
  <w:style w:type="paragraph" w:customStyle="1" w:styleId="14">
    <w:name w:val="Header1"/>
    <w:basedOn w:val="13"/>
    <w:qFormat/>
    <w:uiPriority w:val="0"/>
  </w:style>
  <w:style w:type="character" w:customStyle="1" w:styleId="15">
    <w:name w:val="Κείμενο πλαισίου Char"/>
    <w:basedOn w:val="2"/>
    <w:link w:val="4"/>
    <w:semiHidden/>
    <w:qFormat/>
    <w:uiPriority w:val="99"/>
    <w:rPr>
      <w:rFonts w:ascii="Tahoma" w:hAnsi="Tahoma" w:cs="Mangal"/>
      <w:sz w:val="16"/>
      <w:szCs w:val="1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C%202\Desktop\&#916;&#921;&#913;&#922;&#919;&#929;&#933;&#926;&#919;%20%20&#928;&#917;&#929;&#921;&#928;&#932;&#917;&#929;&#927;&#933;%20&#931;&#932;&#919;&#925;%20&#913;&#915;&#921;&#913;%20&#928;&#913;&#929;&#913;&#931;&#922;&#917;&#933;&#919;.dotx"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ΔΙΑΚΗΡΥΞΗ  ΠΕΡΙΠΤΕΡΟΥ ΣΤΗΝ ΑΓΙΑ ΠΑΡΑΣΚΕΥΗ</Template>
  <Pages>9</Pages>
  <Words>4352</Words>
  <Characters>25074</Characters>
  <Lines>228</Lines>
  <Paragraphs>64</Paragraphs>
  <TotalTime>10</TotalTime>
  <ScaleCrop>false</ScaleCrop>
  <LinksUpToDate>false</LinksUpToDate>
  <CharactersWithSpaces>32644</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2023-06-07T05:50:00Z</dcterms:created>
  <dc:creator>PC 2</dc:creator>
  <cp:lastModifiedBy>Μπάκας Βασίλης</cp:lastModifiedBy>
  <cp:lastPrinted>2026-10-29T07:45:29Z</cp:lastPrinted>
  <dcterms:modified xsi:type="dcterms:W3CDTF">2026-10-29T07:49:40Z</dcterms:modified>
  <cp:revision>148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1033-12.1.0.29162</vt:lpwstr>
  </property>
  <property fmtid="{D5CDD505-2E9C-101B-9397-08002B2CF9AE}" pid="3" name="ICV">
    <vt:lpwstr>5BDB19ACC01443A18D68E4A00B36425F_12</vt:lpwstr>
  </property>
  <property fmtid="{D5CDD505-2E9C-101B-9397-08002B2CF9AE}" pid="4" name="KSOTemplateDocerSaveRecord">
    <vt:lpwstr>eyJoZGlkIjoiZWMxZWZhMTlhMGQxNGM5NmY3NzMxYmJkNTMxODg0NTAifQ==</vt:lpwstr>
  </property>
</Properties>
</file>